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10487" w14:textId="77777777" w:rsidR="00F03A49" w:rsidRPr="004F3CE8" w:rsidRDefault="00F03A49" w:rsidP="00F03A49">
      <w:pPr>
        <w:spacing w:after="0" w:line="480" w:lineRule="auto"/>
        <w:jc w:val="both"/>
        <w:rPr>
          <w:rFonts w:ascii="Calibri" w:hAnsi="Calibri" w:cs="Calibri"/>
          <w:b/>
          <w:bCs/>
        </w:rPr>
      </w:pPr>
      <w:r w:rsidRPr="004F3CE8">
        <w:rPr>
          <w:rFonts w:ascii="Calibri" w:hAnsi="Calibri" w:cs="Calibri"/>
          <w:b/>
          <w:bCs/>
          <w:sz w:val="28"/>
        </w:rPr>
        <w:t xml:space="preserve">Asrij/OCIAD1 </w:t>
      </w:r>
      <w:r>
        <w:rPr>
          <w:rFonts w:ascii="Calibri" w:hAnsi="Calibri" w:cs="Calibri"/>
          <w:b/>
          <w:bCs/>
          <w:sz w:val="28"/>
        </w:rPr>
        <w:t xml:space="preserve">depletion reduces inflammatory </w:t>
      </w:r>
      <w:r w:rsidRPr="004F3CE8">
        <w:rPr>
          <w:rFonts w:ascii="Calibri" w:hAnsi="Calibri" w:cs="Calibri"/>
          <w:b/>
          <w:bCs/>
          <w:sz w:val="28"/>
        </w:rPr>
        <w:t>microgli</w:t>
      </w:r>
      <w:r>
        <w:rPr>
          <w:rFonts w:ascii="Calibri" w:hAnsi="Calibri" w:cs="Calibri"/>
          <w:b/>
          <w:bCs/>
          <w:sz w:val="28"/>
        </w:rPr>
        <w:t>al activation</w:t>
      </w:r>
      <w:r w:rsidRPr="004F3CE8">
        <w:rPr>
          <w:rFonts w:ascii="Calibri" w:hAnsi="Calibri" w:cs="Calibri"/>
          <w:b/>
          <w:bCs/>
          <w:sz w:val="28"/>
        </w:rPr>
        <w:t xml:space="preserve"> </w:t>
      </w:r>
      <w:r>
        <w:rPr>
          <w:rFonts w:ascii="Calibri" w:hAnsi="Calibri" w:cs="Calibri"/>
          <w:b/>
          <w:bCs/>
          <w:sz w:val="28"/>
        </w:rPr>
        <w:t xml:space="preserve">and ameliorates </w:t>
      </w:r>
      <w:r w:rsidRPr="004F3CE8">
        <w:rPr>
          <w:rFonts w:ascii="Calibri" w:hAnsi="Calibri" w:cs="Calibri"/>
          <w:b/>
          <w:bCs/>
          <w:sz w:val="28"/>
        </w:rPr>
        <w:t xml:space="preserve">Aβ pathology in an </w:t>
      </w:r>
      <w:r>
        <w:rPr>
          <w:rFonts w:ascii="Calibri" w:hAnsi="Calibri" w:cs="Calibri"/>
          <w:b/>
          <w:bCs/>
          <w:sz w:val="28"/>
        </w:rPr>
        <w:t>Alzheimer’s</w:t>
      </w:r>
      <w:r w:rsidRPr="004F3CE8">
        <w:rPr>
          <w:rFonts w:ascii="Calibri" w:hAnsi="Calibri" w:cs="Calibri"/>
          <w:b/>
          <w:bCs/>
          <w:sz w:val="28"/>
        </w:rPr>
        <w:t xml:space="preserve"> disease mouse model</w:t>
      </w:r>
    </w:p>
    <w:p w14:paraId="27877600" w14:textId="550C7EC6" w:rsidR="00F03A49" w:rsidRPr="00D91170" w:rsidRDefault="00F03A49" w:rsidP="00F03A49">
      <w:pPr>
        <w:spacing w:after="0" w:line="480" w:lineRule="auto"/>
        <w:jc w:val="both"/>
        <w:rPr>
          <w:rFonts w:ascii="Calibri" w:hAnsi="Calibri" w:cs="Calibri"/>
          <w:noProof/>
          <w:sz w:val="24"/>
          <w:szCs w:val="24"/>
          <w:vertAlign w:val="superscript"/>
          <w:lang w:eastAsia="en-IN"/>
        </w:rPr>
      </w:pPr>
      <w:r w:rsidRPr="00D91170">
        <w:rPr>
          <w:rFonts w:ascii="Calibri" w:hAnsi="Calibri" w:cs="Calibri"/>
          <w:noProof/>
          <w:sz w:val="24"/>
          <w:szCs w:val="24"/>
          <w:lang w:eastAsia="en-IN"/>
        </w:rPr>
        <w:t>Prathamesh Dongre</w:t>
      </w:r>
      <w:r w:rsidRPr="00D91170">
        <w:rPr>
          <w:rFonts w:ascii="Calibri" w:hAnsi="Calibri" w:cs="Calibri"/>
          <w:noProof/>
          <w:sz w:val="24"/>
          <w:szCs w:val="24"/>
          <w:vertAlign w:val="superscript"/>
          <w:lang w:eastAsia="en-IN"/>
        </w:rPr>
        <w:t>1</w:t>
      </w:r>
      <w:r w:rsidRPr="00D91170">
        <w:rPr>
          <w:rFonts w:ascii="Calibri" w:hAnsi="Calibri" w:cs="Calibri"/>
          <w:noProof/>
          <w:sz w:val="24"/>
          <w:szCs w:val="24"/>
          <w:lang w:eastAsia="en-IN"/>
        </w:rPr>
        <w:t xml:space="preserve">, </w:t>
      </w:r>
      <w:r>
        <w:rPr>
          <w:rFonts w:ascii="Calibri" w:hAnsi="Calibri" w:cs="Calibri"/>
          <w:noProof/>
          <w:sz w:val="24"/>
          <w:szCs w:val="24"/>
          <w:lang w:eastAsia="en-IN"/>
        </w:rPr>
        <w:t>Madhu Ramesh</w:t>
      </w:r>
      <w:r w:rsidRPr="008B4B8F">
        <w:rPr>
          <w:rFonts w:ascii="Calibri" w:hAnsi="Calibri" w:cs="Calibri"/>
          <w:noProof/>
          <w:sz w:val="24"/>
          <w:szCs w:val="24"/>
          <w:vertAlign w:val="superscript"/>
          <w:lang w:eastAsia="en-IN"/>
        </w:rPr>
        <w:t>2</w:t>
      </w:r>
      <w:r>
        <w:rPr>
          <w:rFonts w:ascii="Calibri" w:hAnsi="Calibri" w:cs="Calibri"/>
          <w:noProof/>
          <w:sz w:val="24"/>
          <w:szCs w:val="24"/>
          <w:lang w:eastAsia="en-IN"/>
        </w:rPr>
        <w:t>,</w:t>
      </w:r>
      <w:r w:rsidR="0086582C">
        <w:rPr>
          <w:rFonts w:ascii="Calibri" w:hAnsi="Calibri" w:cs="Calibri"/>
          <w:noProof/>
          <w:sz w:val="24"/>
          <w:szCs w:val="24"/>
          <w:lang w:eastAsia="en-IN"/>
        </w:rPr>
        <w:t xml:space="preserve"> </w:t>
      </w:r>
      <w:r w:rsidRPr="000A15C4">
        <w:rPr>
          <w:rFonts w:ascii="Calibri" w:hAnsi="Calibri" w:cs="Calibri"/>
          <w:noProof/>
          <w:sz w:val="24"/>
          <w:szCs w:val="24"/>
          <w:lang w:eastAsia="en-IN"/>
        </w:rPr>
        <w:t>Thimmaiah Govindaraju</w:t>
      </w:r>
      <w:r w:rsidRPr="008B4B8F">
        <w:rPr>
          <w:rFonts w:ascii="Calibri" w:hAnsi="Calibri" w:cs="Calibri"/>
          <w:noProof/>
          <w:sz w:val="24"/>
          <w:szCs w:val="24"/>
          <w:vertAlign w:val="superscript"/>
          <w:lang w:eastAsia="en-IN"/>
        </w:rPr>
        <w:t>2</w:t>
      </w:r>
      <w:r w:rsidRPr="00CF2B78">
        <w:rPr>
          <w:rFonts w:ascii="Calibri" w:hAnsi="Calibri" w:cs="Calibri"/>
          <w:noProof/>
          <w:sz w:val="24"/>
          <w:szCs w:val="24"/>
          <w:lang w:eastAsia="en-IN"/>
        </w:rPr>
        <w:t>*</w:t>
      </w:r>
      <w:r>
        <w:rPr>
          <w:rFonts w:ascii="Calibri" w:hAnsi="Calibri" w:cs="Calibri"/>
          <w:noProof/>
          <w:sz w:val="24"/>
          <w:szCs w:val="24"/>
          <w:lang w:eastAsia="en-IN"/>
        </w:rPr>
        <w:t xml:space="preserve"> and </w:t>
      </w:r>
      <w:r w:rsidRPr="00D91170">
        <w:rPr>
          <w:rFonts w:ascii="Calibri" w:hAnsi="Calibri" w:cs="Calibri"/>
          <w:noProof/>
          <w:sz w:val="24"/>
          <w:szCs w:val="24"/>
          <w:lang w:eastAsia="en-IN"/>
        </w:rPr>
        <w:t>Maneesha S. Inamdar</w:t>
      </w:r>
      <w:r w:rsidRPr="008B4B8F">
        <w:rPr>
          <w:rFonts w:ascii="Calibri" w:hAnsi="Calibri" w:cs="Calibri"/>
          <w:noProof/>
          <w:sz w:val="24"/>
          <w:szCs w:val="24"/>
          <w:vertAlign w:val="superscript"/>
          <w:lang w:eastAsia="en-IN"/>
        </w:rPr>
        <w:t>1,3</w:t>
      </w:r>
      <w:r>
        <w:rPr>
          <w:rFonts w:ascii="Calibri" w:hAnsi="Calibri" w:cs="Calibri"/>
          <w:noProof/>
          <w:sz w:val="24"/>
          <w:szCs w:val="24"/>
          <w:lang w:eastAsia="en-IN"/>
        </w:rPr>
        <w:t>*</w:t>
      </w:r>
    </w:p>
    <w:p w14:paraId="12C6B85E" w14:textId="77777777" w:rsidR="00F03A49" w:rsidRPr="00D91170" w:rsidRDefault="00F03A49" w:rsidP="00F03A49">
      <w:pPr>
        <w:spacing w:after="0" w:line="480" w:lineRule="auto"/>
        <w:jc w:val="both"/>
        <w:rPr>
          <w:rFonts w:ascii="Calibri" w:hAnsi="Calibri" w:cs="Calibri"/>
          <w:noProof/>
          <w:sz w:val="24"/>
          <w:szCs w:val="24"/>
          <w:lang w:eastAsia="en-IN"/>
        </w:rPr>
      </w:pPr>
    </w:p>
    <w:p w14:paraId="6C9BA3DF" w14:textId="77777777" w:rsidR="00F03A49" w:rsidRDefault="00F03A49" w:rsidP="00F03A49">
      <w:pPr>
        <w:spacing w:after="0" w:line="480" w:lineRule="auto"/>
        <w:jc w:val="both"/>
        <w:rPr>
          <w:rFonts w:ascii="Calibri" w:hAnsi="Calibri" w:cs="Calibri"/>
          <w:noProof/>
          <w:sz w:val="24"/>
          <w:szCs w:val="24"/>
          <w:lang w:eastAsia="en-IN"/>
        </w:rPr>
      </w:pPr>
      <w:r w:rsidRPr="00824AED">
        <w:rPr>
          <w:rFonts w:ascii="Calibri" w:hAnsi="Calibri" w:cs="Calibri"/>
          <w:noProof/>
          <w:sz w:val="24"/>
          <w:szCs w:val="24"/>
          <w:vertAlign w:val="superscript"/>
          <w:lang w:eastAsia="en-IN"/>
        </w:rPr>
        <w:t>1</w:t>
      </w:r>
      <w:r>
        <w:rPr>
          <w:rFonts w:ascii="Calibri" w:hAnsi="Calibri" w:cs="Calibri"/>
          <w:noProof/>
          <w:sz w:val="24"/>
          <w:szCs w:val="24"/>
          <w:lang w:eastAsia="en-IN"/>
        </w:rPr>
        <w:t xml:space="preserve">Molecular Biology and Genetics Unit, </w:t>
      </w:r>
      <w:r w:rsidRPr="002F19B3">
        <w:rPr>
          <w:rFonts w:ascii="Calibri" w:hAnsi="Calibri" w:cs="Calibri"/>
          <w:noProof/>
          <w:sz w:val="24"/>
          <w:szCs w:val="24"/>
          <w:lang w:eastAsia="en-IN"/>
        </w:rPr>
        <w:t>Jawaharlal</w:t>
      </w:r>
      <w:r w:rsidRPr="00D91170">
        <w:rPr>
          <w:rFonts w:ascii="Calibri" w:hAnsi="Calibri" w:cs="Calibri"/>
          <w:noProof/>
          <w:sz w:val="24"/>
          <w:szCs w:val="24"/>
          <w:lang w:eastAsia="en-IN"/>
        </w:rPr>
        <w:t xml:space="preserve"> Nehru Centre for Advanced Scientific Research</w:t>
      </w:r>
      <w:r>
        <w:rPr>
          <w:rFonts w:ascii="Calibri" w:hAnsi="Calibri" w:cs="Calibri"/>
          <w:noProof/>
          <w:sz w:val="24"/>
          <w:szCs w:val="24"/>
          <w:lang w:eastAsia="en-IN"/>
        </w:rPr>
        <w:t xml:space="preserve"> (JNCASR)</w:t>
      </w:r>
      <w:r w:rsidRPr="00D91170">
        <w:rPr>
          <w:rFonts w:ascii="Calibri" w:hAnsi="Calibri" w:cs="Calibri"/>
          <w:noProof/>
          <w:sz w:val="24"/>
          <w:szCs w:val="24"/>
          <w:lang w:eastAsia="en-IN"/>
        </w:rPr>
        <w:t xml:space="preserve">, Bangalore 560064, </w:t>
      </w:r>
      <w:r>
        <w:rPr>
          <w:rFonts w:ascii="Calibri" w:hAnsi="Calibri" w:cs="Calibri"/>
          <w:noProof/>
          <w:sz w:val="24"/>
          <w:szCs w:val="24"/>
          <w:lang w:eastAsia="en-IN"/>
        </w:rPr>
        <w:t xml:space="preserve">Karnataka, </w:t>
      </w:r>
      <w:r w:rsidRPr="00D91170">
        <w:rPr>
          <w:rFonts w:ascii="Calibri" w:hAnsi="Calibri" w:cs="Calibri"/>
          <w:noProof/>
          <w:sz w:val="24"/>
          <w:szCs w:val="24"/>
          <w:lang w:eastAsia="en-IN"/>
        </w:rPr>
        <w:t>India</w:t>
      </w:r>
    </w:p>
    <w:p w14:paraId="29EA84EB" w14:textId="77777777" w:rsidR="00F03A49" w:rsidRDefault="00F03A49" w:rsidP="00F03A49">
      <w:pPr>
        <w:spacing w:after="0" w:line="480" w:lineRule="auto"/>
        <w:jc w:val="both"/>
        <w:rPr>
          <w:rFonts w:ascii="Calibri" w:hAnsi="Calibri" w:cs="Calibri"/>
          <w:noProof/>
          <w:sz w:val="24"/>
          <w:szCs w:val="24"/>
          <w:lang w:eastAsia="en-IN"/>
        </w:rPr>
      </w:pPr>
      <w:r>
        <w:rPr>
          <w:rFonts w:ascii="Calibri" w:hAnsi="Calibri" w:cs="Calibri"/>
          <w:noProof/>
          <w:sz w:val="24"/>
          <w:szCs w:val="24"/>
          <w:vertAlign w:val="superscript"/>
          <w:lang w:eastAsia="en-IN"/>
        </w:rPr>
        <w:t>2</w:t>
      </w:r>
      <w:r w:rsidRPr="00824AED">
        <w:rPr>
          <w:rFonts w:ascii="Calibri" w:hAnsi="Calibri" w:cs="Calibri"/>
          <w:noProof/>
          <w:sz w:val="24"/>
          <w:szCs w:val="24"/>
          <w:lang w:eastAsia="en-IN"/>
        </w:rPr>
        <w:t>Bioorganic Chemistry Laboratory, New Chemistry Unit</w:t>
      </w:r>
      <w:r>
        <w:rPr>
          <w:rFonts w:ascii="Calibri" w:hAnsi="Calibri" w:cs="Calibri"/>
          <w:noProof/>
          <w:sz w:val="24"/>
          <w:szCs w:val="24"/>
          <w:lang w:eastAsia="en-IN"/>
        </w:rPr>
        <w:t xml:space="preserve">, </w:t>
      </w:r>
      <w:r w:rsidRPr="002F19B3">
        <w:rPr>
          <w:rFonts w:ascii="Calibri" w:hAnsi="Calibri" w:cs="Calibri"/>
          <w:noProof/>
          <w:sz w:val="24"/>
          <w:szCs w:val="24"/>
          <w:lang w:eastAsia="en-IN"/>
        </w:rPr>
        <w:t>Jawaharlal</w:t>
      </w:r>
      <w:r w:rsidRPr="00D91170">
        <w:rPr>
          <w:rFonts w:ascii="Calibri" w:hAnsi="Calibri" w:cs="Calibri"/>
          <w:noProof/>
          <w:sz w:val="24"/>
          <w:szCs w:val="24"/>
          <w:lang w:eastAsia="en-IN"/>
        </w:rPr>
        <w:t xml:space="preserve"> Nehru Centre for Advanced Scientific Research</w:t>
      </w:r>
      <w:r>
        <w:rPr>
          <w:rFonts w:ascii="Calibri" w:hAnsi="Calibri" w:cs="Calibri"/>
          <w:noProof/>
          <w:sz w:val="24"/>
          <w:szCs w:val="24"/>
          <w:lang w:eastAsia="en-IN"/>
        </w:rPr>
        <w:t xml:space="preserve"> (JNCASR)</w:t>
      </w:r>
      <w:r w:rsidRPr="00D91170">
        <w:rPr>
          <w:rFonts w:ascii="Calibri" w:hAnsi="Calibri" w:cs="Calibri"/>
          <w:noProof/>
          <w:sz w:val="24"/>
          <w:szCs w:val="24"/>
          <w:lang w:eastAsia="en-IN"/>
        </w:rPr>
        <w:t xml:space="preserve">, Bangalore 560064, </w:t>
      </w:r>
      <w:r>
        <w:rPr>
          <w:rFonts w:ascii="Calibri" w:hAnsi="Calibri" w:cs="Calibri"/>
          <w:noProof/>
          <w:sz w:val="24"/>
          <w:szCs w:val="24"/>
          <w:lang w:eastAsia="en-IN"/>
        </w:rPr>
        <w:t xml:space="preserve">Karnataka, </w:t>
      </w:r>
      <w:r w:rsidRPr="00D91170">
        <w:rPr>
          <w:rFonts w:ascii="Calibri" w:hAnsi="Calibri" w:cs="Calibri"/>
          <w:noProof/>
          <w:sz w:val="24"/>
          <w:szCs w:val="24"/>
          <w:lang w:eastAsia="en-IN"/>
        </w:rPr>
        <w:t>India</w:t>
      </w:r>
    </w:p>
    <w:p w14:paraId="24F9FC38" w14:textId="77777777" w:rsidR="00F03A49" w:rsidRPr="00D91170" w:rsidRDefault="00F03A49" w:rsidP="00F03A49">
      <w:pPr>
        <w:spacing w:after="0" w:line="480" w:lineRule="auto"/>
        <w:jc w:val="both"/>
        <w:rPr>
          <w:rFonts w:ascii="Calibri" w:hAnsi="Calibri" w:cs="Calibri"/>
          <w:noProof/>
          <w:sz w:val="24"/>
          <w:szCs w:val="24"/>
          <w:lang w:eastAsia="en-IN"/>
        </w:rPr>
      </w:pPr>
      <w:r w:rsidRPr="001A72BC">
        <w:rPr>
          <w:rFonts w:ascii="Calibri" w:hAnsi="Calibri" w:cs="Calibri"/>
          <w:noProof/>
          <w:sz w:val="24"/>
          <w:szCs w:val="24"/>
          <w:vertAlign w:val="superscript"/>
          <w:lang w:eastAsia="en-IN"/>
        </w:rPr>
        <w:t>3</w:t>
      </w:r>
      <w:r w:rsidRPr="00C66C44">
        <w:rPr>
          <w:rFonts w:ascii="Calibri" w:hAnsi="Calibri" w:cs="Calibri"/>
          <w:noProof/>
          <w:sz w:val="24"/>
          <w:szCs w:val="24"/>
          <w:lang w:eastAsia="en-IN"/>
        </w:rPr>
        <w:t>Institute for Stem Cell Science and Regenerative Medicine (inStem), Bangalore</w:t>
      </w:r>
      <w:r>
        <w:rPr>
          <w:rFonts w:ascii="Calibri" w:hAnsi="Calibri" w:cs="Calibri"/>
          <w:noProof/>
          <w:sz w:val="24"/>
          <w:szCs w:val="24"/>
          <w:lang w:eastAsia="en-IN"/>
        </w:rPr>
        <w:t xml:space="preserve"> 560065</w:t>
      </w:r>
      <w:r w:rsidRPr="00C66C44">
        <w:rPr>
          <w:rFonts w:ascii="Calibri" w:hAnsi="Calibri" w:cs="Calibri"/>
          <w:noProof/>
          <w:sz w:val="24"/>
          <w:szCs w:val="24"/>
          <w:lang w:eastAsia="en-IN"/>
        </w:rPr>
        <w:t>,</w:t>
      </w:r>
      <w:r>
        <w:rPr>
          <w:rFonts w:ascii="Calibri" w:hAnsi="Calibri" w:cs="Calibri"/>
          <w:noProof/>
          <w:sz w:val="24"/>
          <w:szCs w:val="24"/>
          <w:lang w:eastAsia="en-IN"/>
        </w:rPr>
        <w:t xml:space="preserve"> Karnataka,</w:t>
      </w:r>
      <w:r w:rsidRPr="00C66C44">
        <w:rPr>
          <w:rFonts w:ascii="Calibri" w:hAnsi="Calibri" w:cs="Calibri"/>
          <w:noProof/>
          <w:sz w:val="24"/>
          <w:szCs w:val="24"/>
          <w:lang w:eastAsia="en-IN"/>
        </w:rPr>
        <w:t xml:space="preserve"> India</w:t>
      </w:r>
    </w:p>
    <w:p w14:paraId="254DC9CF" w14:textId="77777777" w:rsidR="00F03A49" w:rsidRPr="00D91170" w:rsidRDefault="00F03A49" w:rsidP="00F03A49">
      <w:pPr>
        <w:spacing w:after="0" w:line="480" w:lineRule="auto"/>
        <w:jc w:val="both"/>
        <w:rPr>
          <w:rFonts w:ascii="Calibri" w:hAnsi="Calibri" w:cs="Calibri"/>
          <w:noProof/>
          <w:sz w:val="24"/>
          <w:szCs w:val="24"/>
          <w:lang w:eastAsia="en-IN"/>
        </w:rPr>
      </w:pPr>
    </w:p>
    <w:p w14:paraId="3443DF65" w14:textId="77777777" w:rsidR="00F03A49" w:rsidRPr="00D91170" w:rsidRDefault="00F03A49" w:rsidP="00F03A49">
      <w:pPr>
        <w:spacing w:after="0" w:line="480" w:lineRule="auto"/>
        <w:jc w:val="both"/>
        <w:rPr>
          <w:rFonts w:ascii="Calibri" w:hAnsi="Calibri" w:cs="Calibri"/>
          <w:noProof/>
          <w:sz w:val="24"/>
          <w:szCs w:val="24"/>
          <w:lang w:eastAsia="en-IN"/>
        </w:rPr>
      </w:pPr>
      <w:r w:rsidRPr="00D91170">
        <w:rPr>
          <w:rFonts w:ascii="Calibri" w:hAnsi="Calibri" w:cs="Calibri"/>
          <w:noProof/>
          <w:sz w:val="24"/>
          <w:szCs w:val="24"/>
          <w:lang w:eastAsia="en-IN"/>
        </w:rPr>
        <w:t>*Corresponding author</w:t>
      </w:r>
      <w:r>
        <w:rPr>
          <w:rFonts w:ascii="Calibri" w:hAnsi="Calibri" w:cs="Calibri"/>
          <w:noProof/>
          <w:sz w:val="24"/>
          <w:szCs w:val="24"/>
          <w:lang w:eastAsia="en-IN"/>
        </w:rPr>
        <w:t>s</w:t>
      </w:r>
      <w:r w:rsidRPr="00D91170">
        <w:rPr>
          <w:rFonts w:ascii="Calibri" w:hAnsi="Calibri" w:cs="Calibri"/>
          <w:noProof/>
          <w:sz w:val="24"/>
          <w:szCs w:val="24"/>
          <w:lang w:eastAsia="en-IN"/>
        </w:rPr>
        <w:t>: Maneesha S. Inamdar (</w:t>
      </w:r>
      <w:r w:rsidRPr="00CD555D">
        <w:rPr>
          <w:rFonts w:ascii="Calibri" w:hAnsi="Calibri" w:cs="Calibri"/>
          <w:noProof/>
          <w:sz w:val="24"/>
          <w:szCs w:val="24"/>
          <w:lang w:eastAsia="en-IN"/>
        </w:rPr>
        <w:t>inamdar@jncasr.ac.in</w:t>
      </w:r>
      <w:r w:rsidRPr="00D91170">
        <w:rPr>
          <w:rFonts w:ascii="Calibri" w:hAnsi="Calibri" w:cs="Calibri"/>
          <w:noProof/>
          <w:sz w:val="24"/>
          <w:szCs w:val="24"/>
          <w:lang w:eastAsia="en-IN"/>
        </w:rPr>
        <w:t>)</w:t>
      </w:r>
      <w:r>
        <w:rPr>
          <w:rFonts w:ascii="Calibri" w:hAnsi="Calibri" w:cs="Calibri"/>
          <w:noProof/>
          <w:sz w:val="24"/>
          <w:szCs w:val="24"/>
          <w:lang w:eastAsia="en-IN"/>
        </w:rPr>
        <w:t xml:space="preserve"> and </w:t>
      </w:r>
      <w:r w:rsidRPr="000A15C4">
        <w:rPr>
          <w:rFonts w:ascii="Calibri" w:hAnsi="Calibri" w:cs="Calibri"/>
          <w:noProof/>
          <w:sz w:val="24"/>
          <w:szCs w:val="24"/>
          <w:lang w:eastAsia="en-IN"/>
        </w:rPr>
        <w:t>Thimmaiah Govindaraju</w:t>
      </w:r>
      <w:r>
        <w:rPr>
          <w:rFonts w:ascii="Calibri" w:hAnsi="Calibri" w:cs="Calibri"/>
          <w:noProof/>
          <w:sz w:val="24"/>
          <w:szCs w:val="24"/>
          <w:lang w:eastAsia="en-IN"/>
        </w:rPr>
        <w:t xml:space="preserve"> (tgraju@jncasr.ac.in)</w:t>
      </w:r>
    </w:p>
    <w:p w14:paraId="2ADDED53" w14:textId="77777777" w:rsidR="00F03A49" w:rsidRPr="00B5398A" w:rsidRDefault="00F03A49" w:rsidP="00F03A49">
      <w:pPr>
        <w:spacing w:after="0" w:line="480" w:lineRule="auto"/>
        <w:jc w:val="both"/>
        <w:rPr>
          <w:rFonts w:ascii="Calibri" w:hAnsi="Calibri" w:cs="Calibri"/>
          <w:sz w:val="24"/>
          <w:szCs w:val="24"/>
        </w:rPr>
      </w:pPr>
      <w:r w:rsidRPr="00D91170">
        <w:rPr>
          <w:rFonts w:ascii="Calibri" w:hAnsi="Calibri" w:cs="Calibri"/>
          <w:sz w:val="24"/>
          <w:szCs w:val="24"/>
        </w:rPr>
        <w:t>Telephone: 080-2208</w:t>
      </w:r>
      <w:r>
        <w:rPr>
          <w:rFonts w:ascii="Calibri" w:hAnsi="Calibri" w:cs="Calibri"/>
          <w:sz w:val="24"/>
          <w:szCs w:val="24"/>
        </w:rPr>
        <w:t>-</w:t>
      </w:r>
      <w:r w:rsidRPr="00D91170">
        <w:rPr>
          <w:rFonts w:ascii="Calibri" w:hAnsi="Calibri" w:cs="Calibri"/>
          <w:sz w:val="24"/>
          <w:szCs w:val="24"/>
        </w:rPr>
        <w:t xml:space="preserve">2818, </w:t>
      </w:r>
      <w:r>
        <w:rPr>
          <w:rFonts w:ascii="Calibri" w:hAnsi="Calibri" w:cs="Calibri"/>
          <w:sz w:val="24"/>
          <w:szCs w:val="24"/>
        </w:rPr>
        <w:t>080-2208-2969</w:t>
      </w:r>
    </w:p>
    <w:p w14:paraId="1EE65582" w14:textId="63454AC4" w:rsidR="00F03A49" w:rsidRDefault="00F03A49" w:rsidP="00F03A49">
      <w:pPr>
        <w:spacing w:after="0" w:line="480" w:lineRule="auto"/>
        <w:jc w:val="both"/>
        <w:rPr>
          <w:rFonts w:ascii="Calibri" w:hAnsi="Calibri" w:cs="Calibri"/>
          <w:sz w:val="24"/>
          <w:szCs w:val="24"/>
        </w:rPr>
      </w:pPr>
      <w:r w:rsidRPr="004E6188">
        <w:rPr>
          <w:rFonts w:ascii="Calibri" w:hAnsi="Calibri" w:cs="Calibri"/>
          <w:sz w:val="24"/>
          <w:szCs w:val="24"/>
        </w:rPr>
        <w:t xml:space="preserve">Email addresses of all authors: </w:t>
      </w:r>
      <w:r w:rsidR="00093BA0" w:rsidRPr="00B06ADC">
        <w:rPr>
          <w:rFonts w:ascii="Calibri" w:hAnsi="Calibri" w:cs="Calibri"/>
          <w:sz w:val="24"/>
          <w:szCs w:val="24"/>
        </w:rPr>
        <w:t>prathamesh@jncasr.ac.in</w:t>
      </w:r>
      <w:r w:rsidRPr="004E6188">
        <w:rPr>
          <w:rFonts w:ascii="Calibri" w:hAnsi="Calibri" w:cs="Calibri"/>
          <w:sz w:val="24"/>
          <w:szCs w:val="24"/>
        </w:rPr>
        <w:t>,</w:t>
      </w:r>
      <w:r w:rsidR="00093BA0">
        <w:rPr>
          <w:rFonts w:ascii="Calibri" w:hAnsi="Calibri" w:cs="Calibri"/>
          <w:sz w:val="24"/>
          <w:szCs w:val="24"/>
        </w:rPr>
        <w:t xml:space="preserve"> </w:t>
      </w:r>
      <w:r w:rsidR="00093BA0" w:rsidRPr="00B06ADC">
        <w:rPr>
          <w:rFonts w:ascii="Calibri" w:hAnsi="Calibri" w:cs="Calibri"/>
          <w:sz w:val="24"/>
          <w:szCs w:val="24"/>
        </w:rPr>
        <w:t>madhur@jncasr.ac.in</w:t>
      </w:r>
      <w:r w:rsidR="00093BA0">
        <w:rPr>
          <w:rFonts w:ascii="Calibri" w:hAnsi="Calibri" w:cs="Calibri"/>
          <w:sz w:val="24"/>
          <w:szCs w:val="24"/>
        </w:rPr>
        <w:t>,</w:t>
      </w:r>
      <w:r w:rsidRPr="004E6188">
        <w:rPr>
          <w:rFonts w:ascii="Calibri" w:hAnsi="Calibri" w:cs="Calibri"/>
          <w:sz w:val="24"/>
          <w:szCs w:val="24"/>
        </w:rPr>
        <w:t xml:space="preserve"> </w:t>
      </w:r>
      <w:r w:rsidRPr="00CD555D">
        <w:rPr>
          <w:rFonts w:ascii="Calibri" w:hAnsi="Calibri" w:cs="Calibri"/>
          <w:sz w:val="24"/>
          <w:szCs w:val="24"/>
        </w:rPr>
        <w:t>tgraju@jncasr.ac.in</w:t>
      </w:r>
      <w:r w:rsidRPr="004E6188">
        <w:rPr>
          <w:rFonts w:ascii="Calibri" w:hAnsi="Calibri" w:cs="Calibri"/>
          <w:sz w:val="24"/>
          <w:szCs w:val="24"/>
        </w:rPr>
        <w:t xml:space="preserve">, </w:t>
      </w:r>
      <w:r w:rsidR="00EC4FB2" w:rsidRPr="00240869">
        <w:rPr>
          <w:rFonts w:ascii="Calibri" w:hAnsi="Calibri" w:cs="Calibri"/>
          <w:sz w:val="24"/>
          <w:szCs w:val="24"/>
        </w:rPr>
        <w:t>inamdar@jncasr.ac.in</w:t>
      </w:r>
    </w:p>
    <w:p w14:paraId="2CDEB7A6" w14:textId="77777777" w:rsidR="00EC4FB2" w:rsidRDefault="00EC4FB2" w:rsidP="00F03A49">
      <w:pPr>
        <w:spacing w:after="0" w:line="480" w:lineRule="auto"/>
        <w:jc w:val="both"/>
        <w:rPr>
          <w:rFonts w:ascii="Calibri" w:hAnsi="Calibri" w:cs="Calibri"/>
          <w:sz w:val="24"/>
          <w:szCs w:val="24"/>
        </w:rPr>
      </w:pPr>
    </w:p>
    <w:p w14:paraId="2F6BE1A5" w14:textId="1D4ED355" w:rsidR="00F03A49" w:rsidRDefault="003D2D17" w:rsidP="00BB4B07">
      <w:pPr>
        <w:spacing w:after="0" w:line="480" w:lineRule="auto"/>
        <w:jc w:val="both"/>
        <w:rPr>
          <w:rFonts w:ascii="Calibri" w:hAnsi="Calibri" w:cs="Calibri"/>
          <w:b/>
          <w:bCs/>
          <w:sz w:val="24"/>
          <w:szCs w:val="24"/>
        </w:rPr>
      </w:pPr>
      <w:r w:rsidRPr="00576C35">
        <w:rPr>
          <w:rFonts w:ascii="Calibri" w:hAnsi="Calibri" w:cs="Calibri"/>
          <w:b/>
          <w:bCs/>
          <w:sz w:val="24"/>
          <w:szCs w:val="24"/>
        </w:rPr>
        <w:t>Inventory of supplementary information:</w:t>
      </w:r>
    </w:p>
    <w:p w14:paraId="7B504729" w14:textId="0FB0200A" w:rsidR="00CA0A48" w:rsidRPr="00447A51" w:rsidRDefault="00CA0A48" w:rsidP="00BB4B07">
      <w:pPr>
        <w:spacing w:after="0" w:line="480" w:lineRule="auto"/>
        <w:jc w:val="both"/>
        <w:rPr>
          <w:rFonts w:ascii="Calibri" w:hAnsi="Calibri" w:cs="Calibri"/>
          <w:sz w:val="24"/>
          <w:szCs w:val="24"/>
        </w:rPr>
      </w:pPr>
      <w:r w:rsidRPr="00447A51">
        <w:rPr>
          <w:rFonts w:ascii="Calibri" w:hAnsi="Calibri" w:cs="Calibri"/>
          <w:sz w:val="24"/>
          <w:szCs w:val="24"/>
        </w:rPr>
        <w:t>1. Supplementary figures</w:t>
      </w:r>
    </w:p>
    <w:p w14:paraId="1038041B" w14:textId="6283A044" w:rsidR="00EF5E3E" w:rsidRPr="00447A51" w:rsidRDefault="00D72ED3" w:rsidP="00BB4B07">
      <w:pPr>
        <w:spacing w:after="0" w:line="480" w:lineRule="auto"/>
        <w:jc w:val="both"/>
        <w:rPr>
          <w:rFonts w:ascii="Calibri" w:hAnsi="Calibri" w:cs="Calibri"/>
          <w:sz w:val="24"/>
          <w:szCs w:val="24"/>
        </w:rPr>
      </w:pPr>
      <w:r w:rsidRPr="00447A51">
        <w:rPr>
          <w:rFonts w:ascii="Calibri" w:hAnsi="Calibri" w:cs="Calibri"/>
          <w:sz w:val="24"/>
          <w:szCs w:val="24"/>
        </w:rPr>
        <w:t>2</w:t>
      </w:r>
      <w:r w:rsidR="0015441B" w:rsidRPr="00447A51">
        <w:rPr>
          <w:rFonts w:ascii="Calibri" w:hAnsi="Calibri" w:cs="Calibri"/>
          <w:sz w:val="24"/>
          <w:szCs w:val="24"/>
        </w:rPr>
        <w:t>. Supplementary figure legends</w:t>
      </w:r>
    </w:p>
    <w:p w14:paraId="73A4CD65" w14:textId="4EAB3A9C" w:rsidR="00C54E36" w:rsidRPr="000D49D4" w:rsidRDefault="00D72ED3" w:rsidP="00BB4B07">
      <w:pPr>
        <w:spacing w:after="0" w:line="480" w:lineRule="auto"/>
        <w:jc w:val="both"/>
        <w:rPr>
          <w:rFonts w:ascii="Calibri" w:hAnsi="Calibri" w:cs="Calibri"/>
          <w:sz w:val="24"/>
          <w:szCs w:val="24"/>
        </w:rPr>
      </w:pPr>
      <w:r w:rsidRPr="00447A51">
        <w:rPr>
          <w:rFonts w:ascii="Calibri" w:hAnsi="Calibri" w:cs="Calibri"/>
          <w:sz w:val="24"/>
          <w:szCs w:val="24"/>
        </w:rPr>
        <w:t>3</w:t>
      </w:r>
      <w:r w:rsidR="0015441B" w:rsidRPr="00447A51">
        <w:rPr>
          <w:rFonts w:ascii="Calibri" w:hAnsi="Calibri" w:cs="Calibri"/>
          <w:sz w:val="24"/>
          <w:szCs w:val="24"/>
        </w:rPr>
        <w:t>.</w:t>
      </w:r>
      <w:r w:rsidR="00172FB9" w:rsidRPr="00447A51">
        <w:rPr>
          <w:rFonts w:ascii="Calibri" w:hAnsi="Calibri" w:cs="Calibri"/>
          <w:sz w:val="24"/>
          <w:szCs w:val="24"/>
        </w:rPr>
        <w:t xml:space="preserve"> Supplementary table</w:t>
      </w:r>
    </w:p>
    <w:p w14:paraId="26215EB4" w14:textId="77777777" w:rsidR="00C54E36" w:rsidRDefault="00C54E36" w:rsidP="00BB4B07">
      <w:pPr>
        <w:spacing w:after="0" w:line="480" w:lineRule="auto"/>
        <w:jc w:val="both"/>
        <w:rPr>
          <w:rFonts w:ascii="Calibri" w:hAnsi="Calibri" w:cs="Calibri"/>
          <w:b/>
          <w:bCs/>
          <w:sz w:val="28"/>
          <w:szCs w:val="28"/>
        </w:rPr>
      </w:pPr>
    </w:p>
    <w:p w14:paraId="71FA8127" w14:textId="0D4EE12E" w:rsidR="00BB4B07" w:rsidRPr="0071559B" w:rsidRDefault="00BB4B07" w:rsidP="00BB4B07">
      <w:pPr>
        <w:spacing w:after="0" w:line="480" w:lineRule="auto"/>
        <w:jc w:val="both"/>
        <w:rPr>
          <w:rFonts w:ascii="Calibri" w:hAnsi="Calibri" w:cs="Calibri"/>
          <w:b/>
          <w:bCs/>
          <w:sz w:val="28"/>
          <w:szCs w:val="28"/>
        </w:rPr>
      </w:pPr>
      <w:r w:rsidRPr="00DA2532">
        <w:rPr>
          <w:rFonts w:ascii="Calibri" w:hAnsi="Calibri" w:cs="Calibri"/>
          <w:b/>
          <w:bCs/>
          <w:sz w:val="28"/>
          <w:szCs w:val="28"/>
        </w:rPr>
        <w:lastRenderedPageBreak/>
        <w:t xml:space="preserve">Supplementary </w:t>
      </w:r>
      <w:r w:rsidR="00E57F8F">
        <w:rPr>
          <w:rFonts w:ascii="Calibri" w:hAnsi="Calibri" w:cs="Calibri"/>
          <w:b/>
          <w:bCs/>
          <w:sz w:val="28"/>
          <w:szCs w:val="28"/>
        </w:rPr>
        <w:t>f</w:t>
      </w:r>
      <w:r w:rsidRPr="00DA2532">
        <w:rPr>
          <w:rFonts w:ascii="Calibri" w:hAnsi="Calibri" w:cs="Calibri"/>
          <w:b/>
          <w:bCs/>
          <w:sz w:val="28"/>
          <w:szCs w:val="28"/>
        </w:rPr>
        <w:t xml:space="preserve">igure </w:t>
      </w:r>
      <w:r w:rsidR="000C6677">
        <w:rPr>
          <w:rFonts w:ascii="Calibri" w:hAnsi="Calibri" w:cs="Calibri"/>
          <w:b/>
          <w:bCs/>
          <w:sz w:val="28"/>
          <w:szCs w:val="28"/>
        </w:rPr>
        <w:t>l</w:t>
      </w:r>
      <w:r w:rsidRPr="00DA2532">
        <w:rPr>
          <w:rFonts w:ascii="Calibri" w:hAnsi="Calibri" w:cs="Calibri"/>
          <w:b/>
          <w:bCs/>
          <w:sz w:val="28"/>
          <w:szCs w:val="28"/>
        </w:rPr>
        <w:t>egends</w:t>
      </w:r>
    </w:p>
    <w:p w14:paraId="3239AE1A" w14:textId="41AF6788" w:rsidR="00BB4B07" w:rsidRDefault="00BB4B07" w:rsidP="00BB4B07">
      <w:pPr>
        <w:spacing w:after="0" w:line="480" w:lineRule="auto"/>
        <w:jc w:val="both"/>
        <w:rPr>
          <w:rFonts w:ascii="Calibri" w:hAnsi="Calibri" w:cs="Calibri"/>
          <w:sz w:val="24"/>
          <w:szCs w:val="24"/>
        </w:rPr>
      </w:pPr>
      <w:r>
        <w:rPr>
          <w:rFonts w:ascii="Calibri" w:hAnsi="Calibri" w:cs="Calibri"/>
          <w:b/>
          <w:bCs/>
          <w:sz w:val="24"/>
          <w:szCs w:val="24"/>
        </w:rPr>
        <w:t xml:space="preserve">Figure S1. Generation, characterization, and validation of </w:t>
      </w:r>
      <w:r w:rsidRPr="003745BB">
        <w:rPr>
          <w:rFonts w:ascii="Calibri" w:hAnsi="Calibri" w:cs="Calibri"/>
          <w:b/>
          <w:bCs/>
          <w:i/>
          <w:iCs/>
          <w:sz w:val="24"/>
          <w:szCs w:val="24"/>
        </w:rPr>
        <w:t>APP</w:t>
      </w:r>
      <w:r w:rsidRPr="001907FF">
        <w:rPr>
          <w:rFonts w:ascii="Calibri" w:hAnsi="Calibri" w:cs="Calibri"/>
          <w:b/>
          <w:bCs/>
          <w:sz w:val="24"/>
          <w:szCs w:val="24"/>
        </w:rPr>
        <w:t>/</w:t>
      </w:r>
      <w:r w:rsidRPr="003745BB">
        <w:rPr>
          <w:rFonts w:ascii="Calibri" w:hAnsi="Calibri" w:cs="Calibri"/>
          <w:b/>
          <w:bCs/>
          <w:i/>
          <w:iCs/>
          <w:sz w:val="24"/>
          <w:szCs w:val="24"/>
        </w:rPr>
        <w:t>PS1</w:t>
      </w:r>
      <w:r>
        <w:rPr>
          <w:rFonts w:ascii="Calibri" w:hAnsi="Calibri" w:cs="Calibri"/>
          <w:b/>
          <w:bCs/>
          <w:sz w:val="24"/>
          <w:szCs w:val="24"/>
        </w:rPr>
        <w:t>/</w:t>
      </w:r>
      <w:r w:rsidRPr="003745BB">
        <w:rPr>
          <w:rFonts w:ascii="Calibri" w:hAnsi="Calibri" w:cs="Calibri"/>
          <w:b/>
          <w:bCs/>
          <w:i/>
          <w:iCs/>
          <w:sz w:val="24"/>
          <w:szCs w:val="24"/>
        </w:rPr>
        <w:t>asrij</w:t>
      </w:r>
      <w:r w:rsidRPr="003745BB">
        <w:rPr>
          <w:rFonts w:ascii="Calibri" w:hAnsi="Calibri" w:cs="Calibri"/>
          <w:b/>
          <w:bCs/>
          <w:sz w:val="24"/>
          <w:szCs w:val="24"/>
          <w:vertAlign w:val="superscript"/>
        </w:rPr>
        <w:t>-/-</w:t>
      </w:r>
      <w:r>
        <w:rPr>
          <w:rFonts w:ascii="Calibri" w:hAnsi="Calibri" w:cs="Calibri"/>
          <w:b/>
          <w:bCs/>
          <w:sz w:val="24"/>
          <w:szCs w:val="24"/>
        </w:rPr>
        <w:t xml:space="preserve"> mice. </w:t>
      </w:r>
      <w:r>
        <w:rPr>
          <w:rFonts w:ascii="Calibri" w:hAnsi="Calibri" w:cs="Calibri"/>
          <w:sz w:val="24"/>
          <w:szCs w:val="24"/>
        </w:rPr>
        <w:t xml:space="preserve">(A) Schematic representation of breeding strategy to obtain homozygous deletion of </w:t>
      </w:r>
      <w:r w:rsidRPr="00BB4136">
        <w:rPr>
          <w:rFonts w:ascii="Calibri" w:hAnsi="Calibri" w:cs="Calibri"/>
          <w:i/>
          <w:iCs/>
          <w:sz w:val="24"/>
          <w:szCs w:val="24"/>
        </w:rPr>
        <w:t>asrij</w:t>
      </w:r>
      <w:r>
        <w:rPr>
          <w:rFonts w:ascii="Calibri" w:hAnsi="Calibri" w:cs="Calibri"/>
          <w:sz w:val="24"/>
          <w:szCs w:val="24"/>
        </w:rPr>
        <w:t xml:space="preserve"> in </w:t>
      </w:r>
      <w:r w:rsidRPr="00B648F4">
        <w:rPr>
          <w:rFonts w:ascii="Calibri" w:hAnsi="Calibri" w:cs="Calibri"/>
          <w:i/>
          <w:iCs/>
          <w:sz w:val="24"/>
          <w:szCs w:val="24"/>
        </w:rPr>
        <w:t>APP/PS1</w:t>
      </w:r>
      <w:r>
        <w:rPr>
          <w:rFonts w:ascii="Calibri" w:hAnsi="Calibri" w:cs="Calibri"/>
          <w:sz w:val="24"/>
          <w:szCs w:val="24"/>
        </w:rPr>
        <w:t xml:space="preserve"> mice. (B) Schematic illustrating experimental design for characterization of A</w:t>
      </w:r>
      <w:r>
        <w:rPr>
          <w:rFonts w:ascii="Calibri" w:hAnsi="Calibri" w:cs="Calibri"/>
          <w:sz w:val="24"/>
          <w:szCs w:val="24"/>
        </w:rPr>
        <w:sym w:font="Symbol" w:char="F062"/>
      </w:r>
      <w:r>
        <w:rPr>
          <w:rFonts w:ascii="Calibri" w:hAnsi="Calibri" w:cs="Calibri"/>
          <w:sz w:val="24"/>
          <w:szCs w:val="24"/>
        </w:rPr>
        <w:t xml:space="preserve"> pathology in mice. (C) Immunoblot analysis of Asrij levels in the hippocampus. </w:t>
      </w:r>
      <w:r>
        <w:rPr>
          <w:rFonts w:ascii="Calibri" w:hAnsi="Calibri" w:cs="Calibri"/>
          <w:sz w:val="24"/>
          <w:szCs w:val="24"/>
        </w:rPr>
        <w:sym w:font="Symbol" w:char="F061"/>
      </w:r>
      <w:r>
        <w:rPr>
          <w:rFonts w:ascii="Calibri" w:hAnsi="Calibri" w:cs="Calibri"/>
          <w:sz w:val="24"/>
          <w:szCs w:val="24"/>
        </w:rPr>
        <w:t>-tubulin is loading control. Graph shows</w:t>
      </w:r>
      <w:r w:rsidR="00545DE5">
        <w:rPr>
          <w:rFonts w:ascii="Calibri" w:hAnsi="Calibri" w:cs="Calibri"/>
          <w:sz w:val="24"/>
          <w:szCs w:val="24"/>
        </w:rPr>
        <w:t xml:space="preserve"> quantification of</w:t>
      </w:r>
      <w:r>
        <w:rPr>
          <w:rFonts w:ascii="Calibri" w:hAnsi="Calibri" w:cs="Calibri"/>
          <w:sz w:val="24"/>
          <w:szCs w:val="24"/>
        </w:rPr>
        <w:t xml:space="preserve"> fold change in Asrij levels normalized to </w:t>
      </w:r>
      <w:r>
        <w:rPr>
          <w:rFonts w:ascii="Calibri" w:hAnsi="Calibri" w:cs="Calibri"/>
          <w:sz w:val="24"/>
          <w:szCs w:val="24"/>
        </w:rPr>
        <w:sym w:font="Symbol" w:char="F061"/>
      </w:r>
      <w:r>
        <w:rPr>
          <w:rFonts w:ascii="Calibri" w:hAnsi="Calibri" w:cs="Calibri"/>
          <w:sz w:val="24"/>
          <w:szCs w:val="24"/>
        </w:rPr>
        <w:t>-tubulin (n = 3</w:t>
      </w:r>
      <w:r w:rsidR="007E36F9">
        <w:rPr>
          <w:rFonts w:ascii="Calibri" w:hAnsi="Calibri" w:cs="Calibri"/>
          <w:sz w:val="24"/>
          <w:szCs w:val="24"/>
        </w:rPr>
        <w:t>, all males</w:t>
      </w:r>
      <w:r>
        <w:rPr>
          <w:rFonts w:ascii="Calibri" w:hAnsi="Calibri" w:cs="Calibri"/>
          <w:sz w:val="24"/>
          <w:szCs w:val="24"/>
        </w:rPr>
        <w:t xml:space="preserve">). Statistical significance between experimental groups was calculated by one-way ANOVA with Tukey’s post hoc test. Error bars denote mean </w:t>
      </w:r>
      <w:r w:rsidRPr="00AA2451">
        <w:rPr>
          <w:rFonts w:ascii="Calibri" w:hAnsi="Calibri" w:cs="Calibri"/>
          <w:sz w:val="24"/>
          <w:szCs w:val="24"/>
        </w:rPr>
        <w:t>±</w:t>
      </w:r>
      <w:r>
        <w:rPr>
          <w:rFonts w:ascii="Calibri" w:hAnsi="Calibri" w:cs="Calibri"/>
          <w:sz w:val="24"/>
          <w:szCs w:val="24"/>
        </w:rPr>
        <w:t xml:space="preserve"> SEM. ns- non-significant, </w:t>
      </w:r>
      <w:r w:rsidRPr="00D77175">
        <w:rPr>
          <w:rFonts w:ascii="Calibri" w:hAnsi="Calibri" w:cs="Calibri"/>
          <w:sz w:val="24"/>
          <w:szCs w:val="24"/>
        </w:rPr>
        <w:t>*</w:t>
      </w:r>
      <w:r w:rsidRPr="000C05F8">
        <w:rPr>
          <w:rFonts w:ascii="Calibri" w:hAnsi="Calibri" w:cs="Calibri"/>
          <w:i/>
          <w:iCs/>
          <w:sz w:val="24"/>
          <w:szCs w:val="24"/>
        </w:rPr>
        <w:t>P</w:t>
      </w:r>
      <w:r w:rsidRPr="00D77175">
        <w:rPr>
          <w:rFonts w:ascii="Calibri" w:hAnsi="Calibri" w:cs="Calibri"/>
          <w:sz w:val="24"/>
          <w:szCs w:val="24"/>
        </w:rPr>
        <w:t xml:space="preserve"> &lt; 0.05, **</w:t>
      </w:r>
      <w:r w:rsidRPr="000C05F8">
        <w:rPr>
          <w:rFonts w:ascii="Calibri" w:hAnsi="Calibri" w:cs="Calibri"/>
          <w:i/>
          <w:iCs/>
          <w:sz w:val="24"/>
          <w:szCs w:val="24"/>
        </w:rPr>
        <w:t>P</w:t>
      </w:r>
      <w:r w:rsidRPr="00D77175">
        <w:rPr>
          <w:rFonts w:ascii="Calibri" w:hAnsi="Calibri" w:cs="Calibri"/>
          <w:sz w:val="24"/>
          <w:szCs w:val="24"/>
        </w:rPr>
        <w:t xml:space="preserve"> &lt; 0.01, and ***</w:t>
      </w:r>
      <w:r w:rsidRPr="000C05F8">
        <w:rPr>
          <w:rFonts w:ascii="Calibri" w:hAnsi="Calibri" w:cs="Calibri"/>
          <w:i/>
          <w:iCs/>
          <w:sz w:val="24"/>
          <w:szCs w:val="24"/>
        </w:rPr>
        <w:t>P</w:t>
      </w:r>
      <w:r w:rsidRPr="00D77175">
        <w:rPr>
          <w:rFonts w:ascii="Calibri" w:hAnsi="Calibri" w:cs="Calibri"/>
          <w:sz w:val="24"/>
          <w:szCs w:val="24"/>
        </w:rPr>
        <w:t xml:space="preserve"> &lt; 0.001</w:t>
      </w:r>
      <w:r>
        <w:rPr>
          <w:rFonts w:ascii="Calibri" w:hAnsi="Calibri" w:cs="Calibri"/>
          <w:sz w:val="24"/>
          <w:szCs w:val="24"/>
        </w:rPr>
        <w:t>.</w:t>
      </w:r>
    </w:p>
    <w:p w14:paraId="69D8FBBA" w14:textId="77777777" w:rsidR="00BB4B07" w:rsidRDefault="00BB4B07" w:rsidP="00BB4B07">
      <w:pPr>
        <w:spacing w:after="0" w:line="480" w:lineRule="auto"/>
        <w:jc w:val="both"/>
        <w:rPr>
          <w:rFonts w:ascii="Calibri" w:hAnsi="Calibri" w:cs="Calibri"/>
          <w:sz w:val="24"/>
          <w:szCs w:val="24"/>
        </w:rPr>
      </w:pPr>
    </w:p>
    <w:p w14:paraId="443DF812" w14:textId="7BF1FEC3" w:rsidR="00BB4B07" w:rsidRDefault="00BB4B07" w:rsidP="00BB4B07">
      <w:pPr>
        <w:spacing w:after="0" w:line="480" w:lineRule="auto"/>
        <w:jc w:val="both"/>
        <w:rPr>
          <w:rFonts w:ascii="Calibri" w:hAnsi="Calibri" w:cs="Calibri"/>
          <w:sz w:val="24"/>
          <w:szCs w:val="24"/>
        </w:rPr>
      </w:pPr>
      <w:r w:rsidRPr="00D83809">
        <w:rPr>
          <w:rFonts w:ascii="Calibri" w:hAnsi="Calibri" w:cs="Calibri"/>
          <w:b/>
          <w:bCs/>
          <w:sz w:val="24"/>
          <w:szCs w:val="24"/>
        </w:rPr>
        <w:t>Figure S2.</w:t>
      </w:r>
      <w:r>
        <w:rPr>
          <w:rFonts w:ascii="Calibri" w:hAnsi="Calibri" w:cs="Calibri"/>
          <w:b/>
          <w:bCs/>
          <w:sz w:val="24"/>
          <w:szCs w:val="24"/>
        </w:rPr>
        <w:t xml:space="preserve"> </w:t>
      </w:r>
      <w:r w:rsidRPr="00D83809">
        <w:rPr>
          <w:rFonts w:ascii="Calibri" w:hAnsi="Calibri" w:cs="Calibri"/>
          <w:b/>
          <w:bCs/>
          <w:sz w:val="24"/>
          <w:szCs w:val="24"/>
        </w:rPr>
        <w:t xml:space="preserve">Asrij depletion </w:t>
      </w:r>
      <w:r>
        <w:rPr>
          <w:rFonts w:ascii="Calibri" w:hAnsi="Calibri" w:cs="Calibri"/>
          <w:b/>
          <w:bCs/>
          <w:sz w:val="24"/>
          <w:szCs w:val="24"/>
        </w:rPr>
        <w:t>does not</w:t>
      </w:r>
      <w:r w:rsidRPr="00D83809">
        <w:rPr>
          <w:rFonts w:ascii="Calibri" w:hAnsi="Calibri" w:cs="Calibri"/>
          <w:b/>
          <w:bCs/>
          <w:sz w:val="24"/>
          <w:szCs w:val="24"/>
        </w:rPr>
        <w:t xml:space="preserve"> </w:t>
      </w:r>
      <w:r>
        <w:rPr>
          <w:rFonts w:ascii="Calibri" w:hAnsi="Calibri" w:cs="Calibri"/>
          <w:b/>
          <w:bCs/>
          <w:sz w:val="24"/>
          <w:szCs w:val="24"/>
        </w:rPr>
        <w:t xml:space="preserve">affect </w:t>
      </w:r>
      <w:r w:rsidRPr="00D83809">
        <w:rPr>
          <w:rFonts w:ascii="Calibri" w:hAnsi="Calibri" w:cs="Calibri"/>
          <w:b/>
          <w:bCs/>
          <w:sz w:val="24"/>
          <w:szCs w:val="24"/>
        </w:rPr>
        <w:t>A</w:t>
      </w:r>
      <w:r w:rsidRPr="00D83809">
        <w:rPr>
          <w:rFonts w:ascii="Calibri" w:hAnsi="Calibri" w:cs="Calibri"/>
          <w:b/>
          <w:bCs/>
          <w:sz w:val="24"/>
          <w:szCs w:val="24"/>
        </w:rPr>
        <w:sym w:font="Symbol" w:char="F062"/>
      </w:r>
      <w:r w:rsidRPr="00D83809">
        <w:rPr>
          <w:rFonts w:ascii="Calibri" w:hAnsi="Calibri" w:cs="Calibri"/>
          <w:b/>
          <w:bCs/>
          <w:sz w:val="24"/>
          <w:szCs w:val="24"/>
        </w:rPr>
        <w:t xml:space="preserve"> plaque accumulation at </w:t>
      </w:r>
      <w:r>
        <w:rPr>
          <w:rFonts w:ascii="Calibri" w:hAnsi="Calibri" w:cs="Calibri"/>
          <w:b/>
          <w:bCs/>
          <w:sz w:val="24"/>
          <w:szCs w:val="24"/>
        </w:rPr>
        <w:t>5 months and</w:t>
      </w:r>
      <w:r w:rsidRPr="00D83809">
        <w:rPr>
          <w:rFonts w:ascii="Calibri" w:hAnsi="Calibri" w:cs="Calibri"/>
          <w:b/>
          <w:bCs/>
          <w:sz w:val="24"/>
          <w:szCs w:val="24"/>
        </w:rPr>
        <w:t xml:space="preserve"> APP processing</w:t>
      </w:r>
      <w:r>
        <w:rPr>
          <w:rFonts w:ascii="Calibri" w:hAnsi="Calibri" w:cs="Calibri"/>
          <w:b/>
          <w:bCs/>
          <w:sz w:val="24"/>
          <w:szCs w:val="24"/>
        </w:rPr>
        <w:t xml:space="preserve"> </w:t>
      </w:r>
      <w:r w:rsidRPr="00D83809">
        <w:rPr>
          <w:rFonts w:ascii="Calibri" w:hAnsi="Calibri" w:cs="Calibri"/>
          <w:b/>
          <w:bCs/>
          <w:sz w:val="24"/>
          <w:szCs w:val="24"/>
        </w:rPr>
        <w:t xml:space="preserve">at </w:t>
      </w:r>
      <w:r>
        <w:rPr>
          <w:rFonts w:ascii="Calibri" w:hAnsi="Calibri" w:cs="Calibri"/>
          <w:b/>
          <w:bCs/>
          <w:sz w:val="24"/>
          <w:szCs w:val="24"/>
        </w:rPr>
        <w:t>10 months</w:t>
      </w:r>
      <w:r w:rsidRPr="00D83809">
        <w:rPr>
          <w:rFonts w:ascii="Calibri" w:hAnsi="Calibri" w:cs="Calibri"/>
          <w:b/>
          <w:bCs/>
          <w:sz w:val="24"/>
          <w:szCs w:val="24"/>
        </w:rPr>
        <w:t xml:space="preserve"> of age. </w:t>
      </w:r>
      <w:r>
        <w:rPr>
          <w:rFonts w:ascii="Calibri" w:hAnsi="Calibri" w:cs="Calibri"/>
          <w:sz w:val="24"/>
          <w:szCs w:val="24"/>
        </w:rPr>
        <w:t xml:space="preserve">(A) Representative confocal images of brain sections showing </w:t>
      </w:r>
      <w:proofErr w:type="spellStart"/>
      <w:r>
        <w:rPr>
          <w:rFonts w:ascii="Calibri" w:hAnsi="Calibri" w:cs="Calibri"/>
          <w:sz w:val="24"/>
          <w:szCs w:val="24"/>
        </w:rPr>
        <w:t>ThioS</w:t>
      </w:r>
      <w:proofErr w:type="spellEnd"/>
      <w:r>
        <w:rPr>
          <w:rFonts w:ascii="Calibri" w:hAnsi="Calibri" w:cs="Calibri"/>
          <w:sz w:val="24"/>
          <w:szCs w:val="24"/>
        </w:rPr>
        <w:t xml:space="preserve"> staining (green) for A</w:t>
      </w:r>
      <w:r>
        <w:rPr>
          <w:rFonts w:ascii="Calibri" w:hAnsi="Calibri" w:cs="Calibri"/>
          <w:sz w:val="24"/>
          <w:szCs w:val="24"/>
        </w:rPr>
        <w:sym w:font="Symbol" w:char="F062"/>
      </w:r>
      <w:r>
        <w:rPr>
          <w:rFonts w:ascii="Calibri" w:hAnsi="Calibri" w:cs="Calibri"/>
          <w:sz w:val="24"/>
          <w:szCs w:val="24"/>
        </w:rPr>
        <w:t xml:space="preserve"> plaques. DAPI (blue) marks the nuclei. Graphs show quantification of the percent area covered by </w:t>
      </w:r>
      <w:proofErr w:type="spellStart"/>
      <w:r>
        <w:rPr>
          <w:rFonts w:ascii="Calibri" w:hAnsi="Calibri" w:cs="Calibri"/>
          <w:sz w:val="24"/>
          <w:szCs w:val="24"/>
        </w:rPr>
        <w:t>ThioS</w:t>
      </w:r>
      <w:proofErr w:type="spellEnd"/>
      <w:r w:rsidRPr="00C240AD">
        <w:rPr>
          <w:rFonts w:ascii="Calibri" w:hAnsi="Calibri" w:cs="Calibri"/>
          <w:sz w:val="24"/>
          <w:szCs w:val="24"/>
          <w:vertAlign w:val="superscript"/>
        </w:rPr>
        <w:t>+</w:t>
      </w:r>
      <w:r>
        <w:rPr>
          <w:rFonts w:ascii="Calibri" w:hAnsi="Calibri" w:cs="Calibri"/>
          <w:sz w:val="24"/>
          <w:szCs w:val="24"/>
        </w:rPr>
        <w:t xml:space="preserve"> staining in the hippocampus and cortex (n = </w:t>
      </w:r>
      <w:r w:rsidR="00374A85">
        <w:rPr>
          <w:rFonts w:ascii="Calibri" w:hAnsi="Calibri" w:cs="Calibri"/>
          <w:sz w:val="24"/>
          <w:szCs w:val="24"/>
        </w:rPr>
        <w:t>6</w:t>
      </w:r>
      <w:r w:rsidR="00FC0903">
        <w:rPr>
          <w:rFonts w:ascii="Calibri" w:hAnsi="Calibri" w:cs="Calibri"/>
          <w:sz w:val="24"/>
          <w:szCs w:val="24"/>
        </w:rPr>
        <w:t>, all males</w:t>
      </w:r>
      <w:r>
        <w:rPr>
          <w:rFonts w:ascii="Calibri" w:hAnsi="Calibri" w:cs="Calibri"/>
          <w:sz w:val="24"/>
          <w:szCs w:val="24"/>
        </w:rPr>
        <w:t>). (B) Immunoblot analysis of full-length amyloid precursor protein (APP) and c</w:t>
      </w:r>
      <w:r w:rsidRPr="00DF5F84">
        <w:rPr>
          <w:rFonts w:ascii="Calibri" w:hAnsi="Calibri" w:cs="Calibri"/>
          <w:sz w:val="24"/>
          <w:szCs w:val="24"/>
        </w:rPr>
        <w:t>arboxyl-</w:t>
      </w:r>
      <w:r>
        <w:rPr>
          <w:rFonts w:ascii="Calibri" w:hAnsi="Calibri" w:cs="Calibri"/>
          <w:sz w:val="24"/>
          <w:szCs w:val="24"/>
        </w:rPr>
        <w:t>t</w:t>
      </w:r>
      <w:r w:rsidRPr="00DF5F84">
        <w:rPr>
          <w:rFonts w:ascii="Calibri" w:hAnsi="Calibri" w:cs="Calibri"/>
          <w:sz w:val="24"/>
          <w:szCs w:val="24"/>
        </w:rPr>
        <w:t xml:space="preserve">erminal </w:t>
      </w:r>
      <w:r>
        <w:rPr>
          <w:rFonts w:ascii="Calibri" w:hAnsi="Calibri" w:cs="Calibri"/>
          <w:sz w:val="24"/>
          <w:szCs w:val="24"/>
        </w:rPr>
        <w:t>f</w:t>
      </w:r>
      <w:r w:rsidRPr="00DF5F84">
        <w:rPr>
          <w:rFonts w:ascii="Calibri" w:hAnsi="Calibri" w:cs="Calibri"/>
          <w:sz w:val="24"/>
          <w:szCs w:val="24"/>
        </w:rPr>
        <w:t>ragments</w:t>
      </w:r>
      <w:r>
        <w:rPr>
          <w:rFonts w:ascii="Calibri" w:hAnsi="Calibri" w:cs="Calibri"/>
          <w:sz w:val="24"/>
          <w:szCs w:val="24"/>
        </w:rPr>
        <w:t xml:space="preserve"> (CTF), CTF-</w:t>
      </w:r>
      <w:r>
        <w:rPr>
          <w:rFonts w:ascii="Calibri" w:hAnsi="Calibri" w:cs="Calibri"/>
          <w:sz w:val="24"/>
          <w:szCs w:val="24"/>
        </w:rPr>
        <w:sym w:font="Symbol" w:char="F061"/>
      </w:r>
      <w:r>
        <w:rPr>
          <w:rFonts w:ascii="Calibri" w:hAnsi="Calibri" w:cs="Calibri"/>
          <w:sz w:val="24"/>
          <w:szCs w:val="24"/>
        </w:rPr>
        <w:t xml:space="preserve"> and CTF-</w:t>
      </w:r>
      <w:r>
        <w:rPr>
          <w:rFonts w:ascii="Calibri" w:hAnsi="Calibri" w:cs="Calibri"/>
          <w:sz w:val="24"/>
          <w:szCs w:val="24"/>
        </w:rPr>
        <w:sym w:font="Symbol" w:char="F062"/>
      </w:r>
      <w:r>
        <w:rPr>
          <w:rFonts w:ascii="Calibri" w:hAnsi="Calibri" w:cs="Calibri"/>
          <w:sz w:val="24"/>
          <w:szCs w:val="24"/>
        </w:rPr>
        <w:t xml:space="preserve"> in the hippocampus. GAPDH is loading control. Graphs show quantification of fold change in APP, CTF-</w:t>
      </w:r>
      <w:r>
        <w:rPr>
          <w:rFonts w:ascii="Calibri" w:hAnsi="Calibri" w:cs="Calibri"/>
          <w:sz w:val="24"/>
          <w:szCs w:val="24"/>
        </w:rPr>
        <w:sym w:font="Symbol" w:char="F061"/>
      </w:r>
      <w:r>
        <w:rPr>
          <w:rFonts w:ascii="Calibri" w:hAnsi="Calibri" w:cs="Calibri"/>
          <w:sz w:val="24"/>
          <w:szCs w:val="24"/>
        </w:rPr>
        <w:t>, and CTF-</w:t>
      </w:r>
      <w:r>
        <w:rPr>
          <w:rFonts w:ascii="Calibri" w:hAnsi="Calibri" w:cs="Calibri"/>
          <w:sz w:val="24"/>
          <w:szCs w:val="24"/>
        </w:rPr>
        <w:sym w:font="Symbol" w:char="F062"/>
      </w:r>
      <w:r>
        <w:rPr>
          <w:rFonts w:ascii="Calibri" w:hAnsi="Calibri" w:cs="Calibri"/>
          <w:sz w:val="24"/>
          <w:szCs w:val="24"/>
        </w:rPr>
        <w:t xml:space="preserve"> levels normalized to GAPDH (n = 6</w:t>
      </w:r>
      <w:r w:rsidR="00F75DB0">
        <w:rPr>
          <w:rFonts w:ascii="Calibri" w:hAnsi="Calibri" w:cs="Calibri"/>
          <w:sz w:val="24"/>
          <w:szCs w:val="24"/>
        </w:rPr>
        <w:t>, all males</w:t>
      </w:r>
      <w:r>
        <w:rPr>
          <w:rFonts w:ascii="Calibri" w:hAnsi="Calibri" w:cs="Calibri"/>
          <w:sz w:val="24"/>
          <w:szCs w:val="24"/>
        </w:rPr>
        <w:t>). (C) Immunoblot analysis of GFAP levels in the hippocampus. GAPDH is loading control. Graph shows quantification of fold change in GFAP levels normalized to GAPDH (n = 6</w:t>
      </w:r>
      <w:r w:rsidR="00235241">
        <w:rPr>
          <w:rFonts w:ascii="Calibri" w:hAnsi="Calibri" w:cs="Calibri"/>
          <w:sz w:val="24"/>
          <w:szCs w:val="24"/>
        </w:rPr>
        <w:t>, all males</w:t>
      </w:r>
      <w:r>
        <w:rPr>
          <w:rFonts w:ascii="Calibri" w:hAnsi="Calibri" w:cs="Calibri"/>
          <w:sz w:val="24"/>
          <w:szCs w:val="24"/>
        </w:rPr>
        <w:t xml:space="preserve">). Statistical significance between experimental groups was calculated by unpaired two-tailed Student’s t-test (A-B) and one-way ANOVA with Bonferroni’s post hoc test (C). Error bars denote mean </w:t>
      </w:r>
      <w:r w:rsidRPr="00AA2451">
        <w:rPr>
          <w:rFonts w:ascii="Calibri" w:hAnsi="Calibri" w:cs="Calibri"/>
          <w:sz w:val="24"/>
          <w:szCs w:val="24"/>
        </w:rPr>
        <w:t>±</w:t>
      </w:r>
      <w:r>
        <w:rPr>
          <w:rFonts w:ascii="Calibri" w:hAnsi="Calibri" w:cs="Calibri"/>
          <w:sz w:val="24"/>
          <w:szCs w:val="24"/>
        </w:rPr>
        <w:t xml:space="preserve"> SEM. ns- non-significant, </w:t>
      </w:r>
      <w:r w:rsidRPr="00D77175">
        <w:rPr>
          <w:rFonts w:ascii="Calibri" w:hAnsi="Calibri" w:cs="Calibri"/>
          <w:sz w:val="24"/>
          <w:szCs w:val="24"/>
        </w:rPr>
        <w:t>*</w:t>
      </w:r>
      <w:r w:rsidRPr="000C05F8">
        <w:rPr>
          <w:rFonts w:ascii="Calibri" w:hAnsi="Calibri" w:cs="Calibri"/>
          <w:i/>
          <w:iCs/>
          <w:sz w:val="24"/>
          <w:szCs w:val="24"/>
        </w:rPr>
        <w:t>P</w:t>
      </w:r>
      <w:r w:rsidRPr="00D77175">
        <w:rPr>
          <w:rFonts w:ascii="Calibri" w:hAnsi="Calibri" w:cs="Calibri"/>
          <w:sz w:val="24"/>
          <w:szCs w:val="24"/>
        </w:rPr>
        <w:t xml:space="preserve"> &lt; 0.05, **</w:t>
      </w:r>
      <w:r w:rsidRPr="000C05F8">
        <w:rPr>
          <w:rFonts w:ascii="Calibri" w:hAnsi="Calibri" w:cs="Calibri"/>
          <w:i/>
          <w:iCs/>
          <w:sz w:val="24"/>
          <w:szCs w:val="24"/>
        </w:rPr>
        <w:t>P</w:t>
      </w:r>
      <w:r w:rsidRPr="00D77175">
        <w:rPr>
          <w:rFonts w:ascii="Calibri" w:hAnsi="Calibri" w:cs="Calibri"/>
          <w:sz w:val="24"/>
          <w:szCs w:val="24"/>
        </w:rPr>
        <w:t xml:space="preserve"> &lt; 0.01, and ***</w:t>
      </w:r>
      <w:r w:rsidRPr="000C05F8">
        <w:rPr>
          <w:rFonts w:ascii="Calibri" w:hAnsi="Calibri" w:cs="Calibri"/>
          <w:i/>
          <w:iCs/>
          <w:sz w:val="24"/>
          <w:szCs w:val="24"/>
        </w:rPr>
        <w:t>P</w:t>
      </w:r>
      <w:r w:rsidRPr="00D77175">
        <w:rPr>
          <w:rFonts w:ascii="Calibri" w:hAnsi="Calibri" w:cs="Calibri"/>
          <w:sz w:val="24"/>
          <w:szCs w:val="24"/>
        </w:rPr>
        <w:t xml:space="preserve"> &lt; 0.001</w:t>
      </w:r>
      <w:r>
        <w:rPr>
          <w:rFonts w:ascii="Calibri" w:hAnsi="Calibri" w:cs="Calibri"/>
          <w:sz w:val="24"/>
          <w:szCs w:val="24"/>
        </w:rPr>
        <w:t>.</w:t>
      </w:r>
    </w:p>
    <w:p w14:paraId="18629ACA" w14:textId="77777777" w:rsidR="00BB4B07" w:rsidRDefault="00BB4B07" w:rsidP="00BB4B07">
      <w:pPr>
        <w:spacing w:after="0" w:line="480" w:lineRule="auto"/>
        <w:jc w:val="both"/>
        <w:rPr>
          <w:rFonts w:ascii="Calibri" w:hAnsi="Calibri" w:cs="Calibri"/>
          <w:sz w:val="24"/>
          <w:szCs w:val="24"/>
        </w:rPr>
      </w:pPr>
    </w:p>
    <w:p w14:paraId="19D8FF77" w14:textId="577A95CB" w:rsidR="00BB4B07" w:rsidRDefault="00BB4B07" w:rsidP="00BB4B07">
      <w:pPr>
        <w:spacing w:after="0" w:line="480" w:lineRule="auto"/>
        <w:jc w:val="both"/>
        <w:rPr>
          <w:rFonts w:ascii="Calibri" w:hAnsi="Calibri" w:cs="Calibri"/>
          <w:sz w:val="24"/>
          <w:szCs w:val="24"/>
        </w:rPr>
      </w:pPr>
      <w:r w:rsidRPr="00A34E48">
        <w:rPr>
          <w:rFonts w:ascii="Calibri" w:hAnsi="Calibri" w:cs="Calibri"/>
          <w:b/>
          <w:bCs/>
          <w:sz w:val="24"/>
          <w:szCs w:val="24"/>
        </w:rPr>
        <w:t>Figure S3.</w:t>
      </w:r>
      <w:r>
        <w:rPr>
          <w:rFonts w:ascii="Calibri" w:hAnsi="Calibri" w:cs="Calibri"/>
          <w:b/>
          <w:bCs/>
          <w:sz w:val="24"/>
          <w:szCs w:val="24"/>
        </w:rPr>
        <w:t xml:space="preserve"> Asrij transcript and protein levels are increased in AD microglia. </w:t>
      </w:r>
      <w:r>
        <w:rPr>
          <w:rFonts w:ascii="Calibri" w:hAnsi="Calibri" w:cs="Calibri"/>
          <w:sz w:val="24"/>
          <w:szCs w:val="24"/>
        </w:rPr>
        <w:t xml:space="preserve">(A) Violin plot showing </w:t>
      </w:r>
      <w:r w:rsidRPr="00A17EBC">
        <w:rPr>
          <w:rFonts w:ascii="Calibri" w:hAnsi="Calibri" w:cs="Calibri"/>
          <w:i/>
          <w:iCs/>
          <w:sz w:val="24"/>
          <w:szCs w:val="24"/>
        </w:rPr>
        <w:t>asrij</w:t>
      </w:r>
      <w:r>
        <w:rPr>
          <w:rFonts w:ascii="Calibri" w:hAnsi="Calibri" w:cs="Calibri"/>
          <w:sz w:val="24"/>
          <w:szCs w:val="24"/>
        </w:rPr>
        <w:t xml:space="preserve"> transcript expression in mouse Clec7a</w:t>
      </w:r>
      <w:r w:rsidRPr="006A3A44">
        <w:rPr>
          <w:rFonts w:ascii="Calibri" w:hAnsi="Calibri" w:cs="Calibri"/>
          <w:sz w:val="24"/>
          <w:szCs w:val="24"/>
          <w:vertAlign w:val="superscript"/>
        </w:rPr>
        <w:t>-</w:t>
      </w:r>
      <w:r>
        <w:rPr>
          <w:rFonts w:ascii="Calibri" w:hAnsi="Calibri" w:cs="Calibri"/>
          <w:sz w:val="24"/>
          <w:szCs w:val="24"/>
        </w:rPr>
        <w:t xml:space="preserve"> (non-plaque-associated) and Clec7a</w:t>
      </w:r>
      <w:r w:rsidRPr="006A3A44">
        <w:rPr>
          <w:rFonts w:ascii="Calibri" w:hAnsi="Calibri" w:cs="Calibri"/>
          <w:sz w:val="24"/>
          <w:szCs w:val="24"/>
          <w:vertAlign w:val="superscript"/>
        </w:rPr>
        <w:t>+</w:t>
      </w:r>
      <w:r>
        <w:rPr>
          <w:rFonts w:ascii="Calibri" w:hAnsi="Calibri" w:cs="Calibri"/>
          <w:sz w:val="24"/>
          <w:szCs w:val="24"/>
        </w:rPr>
        <w:t xml:space="preserve"> (plaque-associated) microglia (n = 6). Data plotted from </w:t>
      </w:r>
      <w:proofErr w:type="spellStart"/>
      <w:r w:rsidRPr="00752EC6">
        <w:rPr>
          <w:rFonts w:ascii="Calibri" w:hAnsi="Calibri" w:cs="Calibri"/>
          <w:sz w:val="24"/>
          <w:szCs w:val="24"/>
        </w:rPr>
        <w:t>Krasemann</w:t>
      </w:r>
      <w:proofErr w:type="spellEnd"/>
      <w:r w:rsidRPr="00752EC6">
        <w:rPr>
          <w:rFonts w:ascii="Calibri" w:hAnsi="Calibri" w:cs="Calibri"/>
          <w:sz w:val="24"/>
          <w:szCs w:val="24"/>
        </w:rPr>
        <w:t xml:space="preserve"> </w:t>
      </w:r>
      <w:r w:rsidRPr="005D47D3">
        <w:rPr>
          <w:rFonts w:ascii="Calibri" w:hAnsi="Calibri" w:cs="Calibri"/>
          <w:i/>
          <w:iCs/>
          <w:sz w:val="24"/>
          <w:szCs w:val="24"/>
        </w:rPr>
        <w:t>et al</w:t>
      </w:r>
      <w:r w:rsidRPr="00752EC6">
        <w:rPr>
          <w:rFonts w:ascii="Calibri" w:hAnsi="Calibri" w:cs="Calibri"/>
          <w:sz w:val="24"/>
          <w:szCs w:val="24"/>
        </w:rPr>
        <w:t>.,</w:t>
      </w:r>
      <w:r>
        <w:rPr>
          <w:rFonts w:ascii="Calibri" w:hAnsi="Calibri" w:cs="Calibri"/>
          <w:sz w:val="24"/>
          <w:szCs w:val="24"/>
        </w:rPr>
        <w:t xml:space="preserve"> </w:t>
      </w:r>
      <w:r w:rsidRPr="00752EC6">
        <w:rPr>
          <w:rFonts w:ascii="Calibri" w:hAnsi="Calibri" w:cs="Calibri"/>
          <w:sz w:val="24"/>
          <w:szCs w:val="24"/>
        </w:rPr>
        <w:t>2017</w:t>
      </w:r>
      <w:r>
        <w:rPr>
          <w:rFonts w:ascii="Calibri" w:hAnsi="Calibri" w:cs="Calibri"/>
          <w:sz w:val="24"/>
          <w:szCs w:val="24"/>
        </w:rPr>
        <w:t xml:space="preserve">. (B) Violin plot showing </w:t>
      </w:r>
      <w:r w:rsidRPr="00750DE5">
        <w:rPr>
          <w:rFonts w:ascii="Calibri" w:hAnsi="Calibri" w:cs="Calibri"/>
          <w:i/>
          <w:iCs/>
          <w:sz w:val="24"/>
          <w:szCs w:val="24"/>
        </w:rPr>
        <w:t>asrij</w:t>
      </w:r>
      <w:r>
        <w:rPr>
          <w:rFonts w:ascii="Calibri" w:hAnsi="Calibri" w:cs="Calibri"/>
          <w:sz w:val="24"/>
          <w:szCs w:val="24"/>
        </w:rPr>
        <w:t xml:space="preserve"> transcript expression in human microglia (n = 11). Data plotted from</w:t>
      </w:r>
      <w:r w:rsidRPr="00993C32">
        <w:t xml:space="preserve"> </w:t>
      </w:r>
      <w:r w:rsidRPr="00993C32">
        <w:rPr>
          <w:rFonts w:ascii="Calibri" w:hAnsi="Calibri" w:cs="Calibri"/>
          <w:sz w:val="24"/>
          <w:szCs w:val="24"/>
        </w:rPr>
        <w:t>Mathys, Davila-</w:t>
      </w:r>
      <w:proofErr w:type="spellStart"/>
      <w:r w:rsidRPr="00993C32">
        <w:rPr>
          <w:rFonts w:ascii="Calibri" w:hAnsi="Calibri" w:cs="Calibri"/>
          <w:sz w:val="24"/>
          <w:szCs w:val="24"/>
        </w:rPr>
        <w:t>Velderrain</w:t>
      </w:r>
      <w:proofErr w:type="spellEnd"/>
      <w:r w:rsidRPr="00993C32">
        <w:rPr>
          <w:rFonts w:ascii="Calibri" w:hAnsi="Calibri" w:cs="Calibri"/>
          <w:sz w:val="24"/>
          <w:szCs w:val="24"/>
        </w:rPr>
        <w:t> </w:t>
      </w:r>
      <w:r w:rsidRPr="00961D68">
        <w:rPr>
          <w:rFonts w:ascii="Calibri" w:hAnsi="Calibri" w:cs="Calibri"/>
          <w:i/>
          <w:iCs/>
          <w:sz w:val="24"/>
          <w:szCs w:val="24"/>
        </w:rPr>
        <w:t>et al</w:t>
      </w:r>
      <w:r w:rsidRPr="00993C32">
        <w:rPr>
          <w:rFonts w:ascii="Calibri" w:hAnsi="Calibri" w:cs="Calibri"/>
          <w:sz w:val="24"/>
          <w:szCs w:val="24"/>
        </w:rPr>
        <w:t>.,</w:t>
      </w:r>
      <w:r>
        <w:rPr>
          <w:rFonts w:ascii="Calibri" w:hAnsi="Calibri" w:cs="Calibri"/>
          <w:sz w:val="24"/>
          <w:szCs w:val="24"/>
        </w:rPr>
        <w:t xml:space="preserve"> </w:t>
      </w:r>
      <w:r w:rsidRPr="00993C32">
        <w:rPr>
          <w:rFonts w:ascii="Calibri" w:hAnsi="Calibri" w:cs="Calibri"/>
          <w:sz w:val="24"/>
          <w:szCs w:val="24"/>
        </w:rPr>
        <w:t>2019</w:t>
      </w:r>
      <w:r>
        <w:rPr>
          <w:rFonts w:ascii="Calibri" w:hAnsi="Calibri" w:cs="Calibri"/>
          <w:sz w:val="24"/>
          <w:szCs w:val="24"/>
        </w:rPr>
        <w:t xml:space="preserve">. (C) </w:t>
      </w:r>
      <w:r w:rsidRPr="00F13356">
        <w:rPr>
          <w:rFonts w:ascii="Calibri" w:hAnsi="Calibri" w:cs="Calibri"/>
          <w:sz w:val="24"/>
          <w:szCs w:val="24"/>
        </w:rPr>
        <w:t>RT</w:t>
      </w:r>
      <w:r>
        <w:rPr>
          <w:rFonts w:ascii="Calibri" w:hAnsi="Calibri" w:cs="Calibri"/>
          <w:sz w:val="24"/>
          <w:szCs w:val="24"/>
        </w:rPr>
        <w:t>-</w:t>
      </w:r>
      <w:r w:rsidRPr="00F13356">
        <w:rPr>
          <w:rFonts w:ascii="Calibri" w:hAnsi="Calibri" w:cs="Calibri"/>
          <w:sz w:val="24"/>
          <w:szCs w:val="24"/>
        </w:rPr>
        <w:t>qPCR</w:t>
      </w:r>
      <w:r>
        <w:rPr>
          <w:rFonts w:ascii="Calibri" w:hAnsi="Calibri" w:cs="Calibri"/>
          <w:sz w:val="24"/>
          <w:szCs w:val="24"/>
        </w:rPr>
        <w:t xml:space="preserve"> analysis of </w:t>
      </w:r>
      <w:r w:rsidRPr="00B17B73">
        <w:rPr>
          <w:rFonts w:ascii="Calibri" w:hAnsi="Calibri" w:cs="Calibri"/>
          <w:i/>
          <w:iCs/>
          <w:sz w:val="24"/>
          <w:szCs w:val="24"/>
        </w:rPr>
        <w:t>asrij</w:t>
      </w:r>
      <w:r>
        <w:rPr>
          <w:rFonts w:ascii="Calibri" w:hAnsi="Calibri" w:cs="Calibri"/>
          <w:sz w:val="24"/>
          <w:szCs w:val="24"/>
        </w:rPr>
        <w:t xml:space="preserve"> expression in MACS-sorted CD11b</w:t>
      </w:r>
      <w:r w:rsidRPr="00B6741D">
        <w:rPr>
          <w:rFonts w:ascii="Calibri" w:hAnsi="Calibri" w:cs="Calibri"/>
          <w:sz w:val="24"/>
          <w:szCs w:val="24"/>
          <w:vertAlign w:val="superscript"/>
        </w:rPr>
        <w:t>+</w:t>
      </w:r>
      <w:r>
        <w:rPr>
          <w:rFonts w:ascii="Calibri" w:hAnsi="Calibri" w:cs="Calibri"/>
          <w:sz w:val="24"/>
          <w:szCs w:val="24"/>
        </w:rPr>
        <w:t xml:space="preserve"> mouse microglia. Graph shows quantification of fold change in </w:t>
      </w:r>
      <w:r w:rsidRPr="00CC2646">
        <w:rPr>
          <w:rFonts w:ascii="Calibri" w:hAnsi="Calibri" w:cs="Calibri"/>
          <w:i/>
          <w:iCs/>
          <w:sz w:val="24"/>
          <w:szCs w:val="24"/>
        </w:rPr>
        <w:t>asrij</w:t>
      </w:r>
      <w:r>
        <w:rPr>
          <w:rFonts w:ascii="Calibri" w:hAnsi="Calibri" w:cs="Calibri"/>
          <w:sz w:val="24"/>
          <w:szCs w:val="24"/>
        </w:rPr>
        <w:t xml:space="preserve"> transcript normalized to </w:t>
      </w:r>
      <w:r>
        <w:rPr>
          <w:rFonts w:ascii="Calibri" w:hAnsi="Calibri" w:cs="Calibri"/>
          <w:sz w:val="24"/>
          <w:szCs w:val="24"/>
        </w:rPr>
        <w:sym w:font="Symbol" w:char="F062"/>
      </w:r>
      <w:r>
        <w:rPr>
          <w:rFonts w:ascii="Calibri" w:hAnsi="Calibri" w:cs="Calibri"/>
          <w:sz w:val="24"/>
          <w:szCs w:val="24"/>
        </w:rPr>
        <w:t>-actin expression (n = 3</w:t>
      </w:r>
      <w:r w:rsidR="009A19E7">
        <w:rPr>
          <w:rFonts w:ascii="Calibri" w:hAnsi="Calibri" w:cs="Calibri"/>
          <w:sz w:val="24"/>
          <w:szCs w:val="24"/>
        </w:rPr>
        <w:t>, all males</w:t>
      </w:r>
      <w:r>
        <w:rPr>
          <w:rFonts w:ascii="Calibri" w:hAnsi="Calibri" w:cs="Calibri"/>
          <w:sz w:val="24"/>
          <w:szCs w:val="24"/>
        </w:rPr>
        <w:t>). (D) Immunoblot analysis of Asrij protein levels in MACS-sorted CD11b</w:t>
      </w:r>
      <w:r w:rsidRPr="00B6741D">
        <w:rPr>
          <w:rFonts w:ascii="Calibri" w:hAnsi="Calibri" w:cs="Calibri"/>
          <w:sz w:val="24"/>
          <w:szCs w:val="24"/>
          <w:vertAlign w:val="superscript"/>
        </w:rPr>
        <w:t>+</w:t>
      </w:r>
      <w:r>
        <w:rPr>
          <w:rFonts w:ascii="Calibri" w:hAnsi="Calibri" w:cs="Calibri"/>
          <w:sz w:val="24"/>
          <w:szCs w:val="24"/>
        </w:rPr>
        <w:t xml:space="preserve"> mouse microglia. Graph shows quantification of fold change in Asrij levels normalized to </w:t>
      </w:r>
      <w:r>
        <w:rPr>
          <w:rFonts w:ascii="Calibri" w:hAnsi="Calibri" w:cs="Calibri"/>
          <w:sz w:val="24"/>
          <w:szCs w:val="24"/>
        </w:rPr>
        <w:sym w:font="Symbol" w:char="F061"/>
      </w:r>
      <w:r>
        <w:rPr>
          <w:rFonts w:ascii="Calibri" w:hAnsi="Calibri" w:cs="Calibri"/>
          <w:sz w:val="24"/>
          <w:szCs w:val="24"/>
        </w:rPr>
        <w:t>-tubulin (n = 3</w:t>
      </w:r>
      <w:r w:rsidR="001B5BCE">
        <w:rPr>
          <w:rFonts w:ascii="Calibri" w:hAnsi="Calibri" w:cs="Calibri"/>
          <w:sz w:val="24"/>
          <w:szCs w:val="24"/>
        </w:rPr>
        <w:t>, all males</w:t>
      </w:r>
      <w:r>
        <w:rPr>
          <w:rFonts w:ascii="Calibri" w:hAnsi="Calibri" w:cs="Calibri"/>
          <w:sz w:val="24"/>
          <w:szCs w:val="24"/>
        </w:rPr>
        <w:t xml:space="preserve">). Statistical significance between experimental groups was calculated by one-way ANOVA with Bonferroni’s post hoc test (A) and unpaired two-tailed Student’s t-test (B-D). Error bars denote mean </w:t>
      </w:r>
      <w:r w:rsidRPr="00AA2451">
        <w:rPr>
          <w:rFonts w:ascii="Calibri" w:hAnsi="Calibri" w:cs="Calibri"/>
          <w:sz w:val="24"/>
          <w:szCs w:val="24"/>
        </w:rPr>
        <w:t>±</w:t>
      </w:r>
      <w:r>
        <w:rPr>
          <w:rFonts w:ascii="Calibri" w:hAnsi="Calibri" w:cs="Calibri"/>
          <w:sz w:val="24"/>
          <w:szCs w:val="24"/>
        </w:rPr>
        <w:t xml:space="preserve"> SEM. ns- non-significant, </w:t>
      </w:r>
      <w:r w:rsidRPr="00D77175">
        <w:rPr>
          <w:rFonts w:ascii="Calibri" w:hAnsi="Calibri" w:cs="Calibri"/>
          <w:sz w:val="24"/>
          <w:szCs w:val="24"/>
        </w:rPr>
        <w:t>*</w:t>
      </w:r>
      <w:r w:rsidRPr="000C05F8">
        <w:rPr>
          <w:rFonts w:ascii="Calibri" w:hAnsi="Calibri" w:cs="Calibri"/>
          <w:i/>
          <w:iCs/>
          <w:sz w:val="24"/>
          <w:szCs w:val="24"/>
        </w:rPr>
        <w:t>P</w:t>
      </w:r>
      <w:r w:rsidRPr="00D77175">
        <w:rPr>
          <w:rFonts w:ascii="Calibri" w:hAnsi="Calibri" w:cs="Calibri"/>
          <w:sz w:val="24"/>
          <w:szCs w:val="24"/>
        </w:rPr>
        <w:t xml:space="preserve"> &lt; 0.05, **</w:t>
      </w:r>
      <w:r w:rsidRPr="000C05F8">
        <w:rPr>
          <w:rFonts w:ascii="Calibri" w:hAnsi="Calibri" w:cs="Calibri"/>
          <w:i/>
          <w:iCs/>
          <w:sz w:val="24"/>
          <w:szCs w:val="24"/>
        </w:rPr>
        <w:t>P</w:t>
      </w:r>
      <w:r w:rsidRPr="00D77175">
        <w:rPr>
          <w:rFonts w:ascii="Calibri" w:hAnsi="Calibri" w:cs="Calibri"/>
          <w:sz w:val="24"/>
          <w:szCs w:val="24"/>
        </w:rPr>
        <w:t xml:space="preserve"> &lt; 0.01, and ***</w:t>
      </w:r>
      <w:r w:rsidRPr="000C05F8">
        <w:rPr>
          <w:rFonts w:ascii="Calibri" w:hAnsi="Calibri" w:cs="Calibri"/>
          <w:i/>
          <w:iCs/>
          <w:sz w:val="24"/>
          <w:szCs w:val="24"/>
        </w:rPr>
        <w:t>P</w:t>
      </w:r>
      <w:r w:rsidRPr="00D77175">
        <w:rPr>
          <w:rFonts w:ascii="Calibri" w:hAnsi="Calibri" w:cs="Calibri"/>
          <w:sz w:val="24"/>
          <w:szCs w:val="24"/>
        </w:rPr>
        <w:t xml:space="preserve"> &lt; 0.001</w:t>
      </w:r>
      <w:r>
        <w:rPr>
          <w:rFonts w:ascii="Calibri" w:hAnsi="Calibri" w:cs="Calibri"/>
          <w:sz w:val="24"/>
          <w:szCs w:val="24"/>
        </w:rPr>
        <w:t>.</w:t>
      </w:r>
    </w:p>
    <w:p w14:paraId="34CD4808" w14:textId="77777777" w:rsidR="00BB4B07" w:rsidRDefault="00BB4B07" w:rsidP="00BB4B07">
      <w:pPr>
        <w:spacing w:after="0" w:line="480" w:lineRule="auto"/>
        <w:jc w:val="both"/>
        <w:rPr>
          <w:rFonts w:ascii="Calibri" w:hAnsi="Calibri" w:cs="Calibri"/>
          <w:sz w:val="24"/>
          <w:szCs w:val="24"/>
        </w:rPr>
      </w:pPr>
    </w:p>
    <w:p w14:paraId="71467147" w14:textId="36DAD7C4" w:rsidR="00E81913" w:rsidRDefault="00BB4B07" w:rsidP="00BB4B07">
      <w:pPr>
        <w:spacing w:after="0" w:line="480" w:lineRule="auto"/>
        <w:jc w:val="both"/>
        <w:rPr>
          <w:rFonts w:ascii="Calibri" w:hAnsi="Calibri" w:cs="Calibri"/>
          <w:sz w:val="24"/>
          <w:szCs w:val="24"/>
        </w:rPr>
      </w:pPr>
      <w:r w:rsidRPr="00A34E48">
        <w:rPr>
          <w:rFonts w:ascii="Calibri" w:hAnsi="Calibri" w:cs="Calibri"/>
          <w:b/>
          <w:bCs/>
          <w:sz w:val="24"/>
          <w:szCs w:val="24"/>
        </w:rPr>
        <w:t>Figure S</w:t>
      </w:r>
      <w:r>
        <w:rPr>
          <w:rFonts w:ascii="Calibri" w:hAnsi="Calibri" w:cs="Calibri"/>
          <w:b/>
          <w:bCs/>
          <w:sz w:val="24"/>
          <w:szCs w:val="24"/>
        </w:rPr>
        <w:t>4</w:t>
      </w:r>
      <w:r w:rsidRPr="00A34E48">
        <w:rPr>
          <w:rFonts w:ascii="Calibri" w:hAnsi="Calibri" w:cs="Calibri"/>
          <w:b/>
          <w:bCs/>
          <w:sz w:val="24"/>
          <w:szCs w:val="24"/>
        </w:rPr>
        <w:t>.</w:t>
      </w:r>
      <w:r>
        <w:rPr>
          <w:rFonts w:ascii="Calibri" w:hAnsi="Calibri" w:cs="Calibri"/>
          <w:b/>
          <w:bCs/>
          <w:sz w:val="24"/>
          <w:szCs w:val="24"/>
        </w:rPr>
        <w:t xml:space="preserve"> </w:t>
      </w:r>
      <w:r w:rsidRPr="00FC3C17">
        <w:rPr>
          <w:rFonts w:ascii="Calibri" w:hAnsi="Calibri" w:cs="Calibri"/>
          <w:b/>
          <w:bCs/>
          <w:sz w:val="24"/>
          <w:szCs w:val="24"/>
        </w:rPr>
        <w:t xml:space="preserve">Reduced </w:t>
      </w:r>
      <w:r>
        <w:rPr>
          <w:rFonts w:ascii="Calibri" w:hAnsi="Calibri" w:cs="Calibri"/>
          <w:b/>
          <w:bCs/>
          <w:sz w:val="24"/>
          <w:szCs w:val="24"/>
        </w:rPr>
        <w:t xml:space="preserve">microglial </w:t>
      </w:r>
      <w:r w:rsidRPr="00FC3C17">
        <w:rPr>
          <w:rFonts w:ascii="Calibri" w:hAnsi="Calibri" w:cs="Calibri"/>
          <w:b/>
          <w:bCs/>
          <w:sz w:val="24"/>
          <w:szCs w:val="24"/>
        </w:rPr>
        <w:t>phagocyt</w:t>
      </w:r>
      <w:r>
        <w:rPr>
          <w:rFonts w:ascii="Calibri" w:hAnsi="Calibri" w:cs="Calibri"/>
          <w:b/>
          <w:bCs/>
          <w:sz w:val="24"/>
          <w:szCs w:val="24"/>
        </w:rPr>
        <w:t>ic activation</w:t>
      </w:r>
      <w:r w:rsidRPr="00FC3C17">
        <w:rPr>
          <w:rFonts w:ascii="Calibri" w:hAnsi="Calibri" w:cs="Calibri"/>
          <w:b/>
          <w:bCs/>
          <w:sz w:val="24"/>
          <w:szCs w:val="24"/>
        </w:rPr>
        <w:t xml:space="preserve"> in Asrij deficient </w:t>
      </w:r>
      <w:r w:rsidRPr="00FC3C17">
        <w:rPr>
          <w:rFonts w:ascii="Calibri" w:hAnsi="Calibri" w:cs="Calibri"/>
          <w:b/>
          <w:bCs/>
          <w:i/>
          <w:iCs/>
          <w:sz w:val="24"/>
          <w:szCs w:val="24"/>
        </w:rPr>
        <w:t>APP/PS1</w:t>
      </w:r>
      <w:r w:rsidRPr="00FC3C17">
        <w:rPr>
          <w:rFonts w:ascii="Calibri" w:hAnsi="Calibri" w:cs="Calibri"/>
          <w:b/>
          <w:bCs/>
          <w:sz w:val="24"/>
          <w:szCs w:val="24"/>
        </w:rPr>
        <w:t xml:space="preserve"> mice</w:t>
      </w:r>
      <w:r>
        <w:rPr>
          <w:rFonts w:ascii="Calibri" w:hAnsi="Calibri" w:cs="Calibri"/>
          <w:b/>
          <w:bCs/>
          <w:sz w:val="24"/>
          <w:szCs w:val="24"/>
        </w:rPr>
        <w:t xml:space="preserve">. </w:t>
      </w:r>
      <w:r>
        <w:rPr>
          <w:rFonts w:ascii="Calibri" w:hAnsi="Calibri" w:cs="Calibri"/>
          <w:sz w:val="24"/>
          <w:szCs w:val="24"/>
        </w:rPr>
        <w:t>(A) Immunoblot analysis of IBA1 and CD68 levels in the hippocampus. GAPDH is loading control. Graphs show quantification of fold change in IBA1 (n = 6</w:t>
      </w:r>
      <w:r w:rsidR="0014383D">
        <w:rPr>
          <w:rFonts w:ascii="Calibri" w:hAnsi="Calibri" w:cs="Calibri"/>
          <w:sz w:val="24"/>
          <w:szCs w:val="24"/>
        </w:rPr>
        <w:t>, all males</w:t>
      </w:r>
      <w:r>
        <w:rPr>
          <w:rFonts w:ascii="Calibri" w:hAnsi="Calibri" w:cs="Calibri"/>
          <w:sz w:val="24"/>
          <w:szCs w:val="24"/>
        </w:rPr>
        <w:t>) and CD68 (n = 4) levels normalized to GAPDH. (B) Gating strategy for FACS analysis of microglia. (C) Representative flow cytometry dot plots showing the frequency of microglia. Graph shows quantification of the percentage of CD11b</w:t>
      </w:r>
      <w:r w:rsidRPr="00983C84">
        <w:rPr>
          <w:rFonts w:ascii="Calibri" w:hAnsi="Calibri" w:cs="Calibri"/>
          <w:sz w:val="24"/>
          <w:szCs w:val="24"/>
          <w:vertAlign w:val="superscript"/>
        </w:rPr>
        <w:t>+</w:t>
      </w:r>
      <w:r>
        <w:rPr>
          <w:rFonts w:ascii="Calibri" w:hAnsi="Calibri" w:cs="Calibri"/>
          <w:sz w:val="24"/>
          <w:szCs w:val="24"/>
        </w:rPr>
        <w:t xml:space="preserve"> CD45</w:t>
      </w:r>
      <w:r w:rsidRPr="00983C84">
        <w:rPr>
          <w:rFonts w:ascii="Calibri" w:hAnsi="Calibri" w:cs="Calibri"/>
          <w:sz w:val="24"/>
          <w:szCs w:val="24"/>
          <w:vertAlign w:val="superscript"/>
        </w:rPr>
        <w:t>int</w:t>
      </w:r>
      <w:r>
        <w:rPr>
          <w:rFonts w:ascii="Calibri" w:hAnsi="Calibri" w:cs="Calibri"/>
          <w:sz w:val="24"/>
          <w:szCs w:val="24"/>
        </w:rPr>
        <w:t xml:space="preserve"> microglia (n = </w:t>
      </w:r>
      <w:r w:rsidR="004938C0">
        <w:rPr>
          <w:rFonts w:ascii="Calibri" w:hAnsi="Calibri" w:cs="Calibri"/>
          <w:sz w:val="24"/>
          <w:szCs w:val="24"/>
        </w:rPr>
        <w:t>8</w:t>
      </w:r>
      <w:r w:rsidR="0038705F">
        <w:rPr>
          <w:rFonts w:ascii="Calibri" w:hAnsi="Calibri" w:cs="Calibri"/>
          <w:sz w:val="24"/>
          <w:szCs w:val="24"/>
        </w:rPr>
        <w:t>, all females</w:t>
      </w:r>
      <w:r>
        <w:rPr>
          <w:rFonts w:ascii="Calibri" w:hAnsi="Calibri" w:cs="Calibri"/>
          <w:sz w:val="24"/>
          <w:szCs w:val="24"/>
        </w:rPr>
        <w:t xml:space="preserve">). Graphs show quantification of fold change in median fluorescence intensity (MFI) of CD45 and CD11b in microglia (n = </w:t>
      </w:r>
      <w:r w:rsidR="004938C0">
        <w:rPr>
          <w:rFonts w:ascii="Calibri" w:hAnsi="Calibri" w:cs="Calibri"/>
          <w:sz w:val="24"/>
          <w:szCs w:val="24"/>
        </w:rPr>
        <w:t>8</w:t>
      </w:r>
      <w:r w:rsidR="00DE2CE4">
        <w:rPr>
          <w:rFonts w:ascii="Calibri" w:hAnsi="Calibri" w:cs="Calibri"/>
          <w:sz w:val="24"/>
          <w:szCs w:val="24"/>
        </w:rPr>
        <w:t>, all females</w:t>
      </w:r>
      <w:r>
        <w:rPr>
          <w:rFonts w:ascii="Calibri" w:hAnsi="Calibri" w:cs="Calibri"/>
          <w:sz w:val="24"/>
          <w:szCs w:val="24"/>
        </w:rPr>
        <w:t xml:space="preserve">). (D) Representative flow cytometry density plots showing the frequency of microglia positive for </w:t>
      </w:r>
      <w:proofErr w:type="spellStart"/>
      <w:r>
        <w:rPr>
          <w:rFonts w:ascii="Calibri" w:hAnsi="Calibri" w:cs="Calibri"/>
          <w:sz w:val="24"/>
          <w:szCs w:val="24"/>
        </w:rPr>
        <w:t>HiLyte</w:t>
      </w:r>
      <w:proofErr w:type="spellEnd"/>
      <w:r>
        <w:rPr>
          <w:rFonts w:ascii="Calibri" w:hAnsi="Calibri" w:cs="Calibri"/>
          <w:sz w:val="24"/>
          <w:szCs w:val="24"/>
        </w:rPr>
        <w:t xml:space="preserve"> Fluor 568 </w:t>
      </w:r>
      <w:proofErr w:type="spellStart"/>
      <w:r>
        <w:rPr>
          <w:rFonts w:ascii="Calibri" w:hAnsi="Calibri" w:cs="Calibri"/>
          <w:sz w:val="24"/>
          <w:szCs w:val="24"/>
        </w:rPr>
        <w:t>labeled</w:t>
      </w:r>
      <w:proofErr w:type="spellEnd"/>
      <w:r>
        <w:rPr>
          <w:rFonts w:ascii="Calibri" w:hAnsi="Calibri" w:cs="Calibri"/>
          <w:sz w:val="24"/>
          <w:szCs w:val="24"/>
        </w:rPr>
        <w:t xml:space="preserve"> A</w:t>
      </w:r>
      <w:r>
        <w:rPr>
          <w:rFonts w:ascii="Calibri" w:hAnsi="Calibri" w:cs="Calibri"/>
          <w:sz w:val="24"/>
          <w:szCs w:val="24"/>
        </w:rPr>
        <w:sym w:font="Symbol" w:char="F062"/>
      </w:r>
      <w:r w:rsidRPr="00517DDE">
        <w:rPr>
          <w:rFonts w:ascii="Calibri" w:hAnsi="Calibri" w:cs="Calibri"/>
          <w:sz w:val="24"/>
          <w:szCs w:val="24"/>
          <w:vertAlign w:val="subscript"/>
        </w:rPr>
        <w:t>42</w:t>
      </w:r>
      <w:r>
        <w:rPr>
          <w:rFonts w:ascii="Calibri" w:hAnsi="Calibri" w:cs="Calibri"/>
          <w:sz w:val="24"/>
          <w:szCs w:val="24"/>
        </w:rPr>
        <w:t xml:space="preserve"> oligomers. Graph shows quantification of the percentage of </w:t>
      </w:r>
      <w:proofErr w:type="spellStart"/>
      <w:r>
        <w:rPr>
          <w:rFonts w:ascii="Calibri" w:hAnsi="Calibri" w:cs="Calibri"/>
          <w:sz w:val="24"/>
          <w:szCs w:val="24"/>
        </w:rPr>
        <w:t>HiLyte</w:t>
      </w:r>
      <w:proofErr w:type="spellEnd"/>
      <w:r>
        <w:rPr>
          <w:rFonts w:ascii="Calibri" w:hAnsi="Calibri" w:cs="Calibri"/>
          <w:sz w:val="24"/>
          <w:szCs w:val="24"/>
        </w:rPr>
        <w:t xml:space="preserve"> Fluor 568-A</w:t>
      </w:r>
      <w:r>
        <w:rPr>
          <w:rFonts w:ascii="Calibri" w:hAnsi="Calibri" w:cs="Calibri"/>
          <w:sz w:val="24"/>
          <w:szCs w:val="24"/>
        </w:rPr>
        <w:sym w:font="Symbol" w:char="F062"/>
      </w:r>
      <w:r w:rsidRPr="00517DDE">
        <w:rPr>
          <w:rFonts w:ascii="Calibri" w:hAnsi="Calibri" w:cs="Calibri"/>
          <w:sz w:val="24"/>
          <w:szCs w:val="24"/>
          <w:vertAlign w:val="subscript"/>
        </w:rPr>
        <w:t>42</w:t>
      </w:r>
      <w:r>
        <w:rPr>
          <w:rFonts w:ascii="Calibri" w:hAnsi="Calibri" w:cs="Calibri"/>
          <w:sz w:val="24"/>
          <w:szCs w:val="24"/>
        </w:rPr>
        <w:t xml:space="preserve"> stained microglia</w:t>
      </w:r>
      <w:r w:rsidR="00B74724">
        <w:rPr>
          <w:rFonts w:ascii="Calibri" w:hAnsi="Calibri" w:cs="Calibri"/>
          <w:sz w:val="24"/>
          <w:szCs w:val="24"/>
        </w:rPr>
        <w:t xml:space="preserve"> (n = 5, all females)</w:t>
      </w:r>
      <w:r>
        <w:rPr>
          <w:rFonts w:ascii="Calibri" w:hAnsi="Calibri" w:cs="Calibri"/>
          <w:sz w:val="24"/>
          <w:szCs w:val="24"/>
        </w:rPr>
        <w:t>.</w:t>
      </w:r>
      <w:r w:rsidR="00417A3D">
        <w:rPr>
          <w:rFonts w:ascii="Calibri" w:hAnsi="Calibri" w:cs="Calibri"/>
          <w:sz w:val="24"/>
          <w:szCs w:val="24"/>
        </w:rPr>
        <w:t xml:space="preserve"> </w:t>
      </w:r>
      <w:r>
        <w:rPr>
          <w:rFonts w:ascii="Calibri" w:hAnsi="Calibri" w:cs="Calibri"/>
          <w:sz w:val="24"/>
          <w:szCs w:val="24"/>
        </w:rPr>
        <w:t xml:space="preserve">Statistical </w:t>
      </w:r>
      <w:r>
        <w:rPr>
          <w:rFonts w:ascii="Calibri" w:hAnsi="Calibri" w:cs="Calibri"/>
          <w:sz w:val="24"/>
          <w:szCs w:val="24"/>
        </w:rPr>
        <w:lastRenderedPageBreak/>
        <w:t xml:space="preserve">significance between experimental groups was calculated by one-way ANOVA with Bonferroni’s post hoc test. Error bars denote mean </w:t>
      </w:r>
      <w:r w:rsidRPr="00AA2451">
        <w:rPr>
          <w:rFonts w:ascii="Calibri" w:hAnsi="Calibri" w:cs="Calibri"/>
          <w:sz w:val="24"/>
          <w:szCs w:val="24"/>
        </w:rPr>
        <w:t>±</w:t>
      </w:r>
      <w:r>
        <w:rPr>
          <w:rFonts w:ascii="Calibri" w:hAnsi="Calibri" w:cs="Calibri"/>
          <w:sz w:val="24"/>
          <w:szCs w:val="24"/>
        </w:rPr>
        <w:t xml:space="preserve"> SEM. ns- non-significant, </w:t>
      </w:r>
      <w:r w:rsidRPr="00D77175">
        <w:rPr>
          <w:rFonts w:ascii="Calibri" w:hAnsi="Calibri" w:cs="Calibri"/>
          <w:sz w:val="24"/>
          <w:szCs w:val="24"/>
        </w:rPr>
        <w:t>*</w:t>
      </w:r>
      <w:r w:rsidRPr="000C05F8">
        <w:rPr>
          <w:rFonts w:ascii="Calibri" w:hAnsi="Calibri" w:cs="Calibri"/>
          <w:i/>
          <w:iCs/>
          <w:sz w:val="24"/>
          <w:szCs w:val="24"/>
        </w:rPr>
        <w:t>P</w:t>
      </w:r>
      <w:r w:rsidRPr="00D77175">
        <w:rPr>
          <w:rFonts w:ascii="Calibri" w:hAnsi="Calibri" w:cs="Calibri"/>
          <w:sz w:val="24"/>
          <w:szCs w:val="24"/>
        </w:rPr>
        <w:t xml:space="preserve"> &lt; 0.05, **</w:t>
      </w:r>
      <w:r w:rsidRPr="000C05F8">
        <w:rPr>
          <w:rFonts w:ascii="Calibri" w:hAnsi="Calibri" w:cs="Calibri"/>
          <w:i/>
          <w:iCs/>
          <w:sz w:val="24"/>
          <w:szCs w:val="24"/>
        </w:rPr>
        <w:t>P</w:t>
      </w:r>
      <w:r w:rsidRPr="00D77175">
        <w:rPr>
          <w:rFonts w:ascii="Calibri" w:hAnsi="Calibri" w:cs="Calibri"/>
          <w:sz w:val="24"/>
          <w:szCs w:val="24"/>
        </w:rPr>
        <w:t xml:space="preserve"> &lt; 0.01, and ***</w:t>
      </w:r>
      <w:r w:rsidRPr="000C05F8">
        <w:rPr>
          <w:rFonts w:ascii="Calibri" w:hAnsi="Calibri" w:cs="Calibri"/>
          <w:i/>
          <w:iCs/>
          <w:sz w:val="24"/>
          <w:szCs w:val="24"/>
        </w:rPr>
        <w:t>P</w:t>
      </w:r>
      <w:r w:rsidRPr="00D77175">
        <w:rPr>
          <w:rFonts w:ascii="Calibri" w:hAnsi="Calibri" w:cs="Calibri"/>
          <w:sz w:val="24"/>
          <w:szCs w:val="24"/>
        </w:rPr>
        <w:t xml:space="preserve"> &lt; 0.001</w:t>
      </w:r>
      <w:r>
        <w:rPr>
          <w:rFonts w:ascii="Calibri" w:hAnsi="Calibri" w:cs="Calibri"/>
          <w:sz w:val="24"/>
          <w:szCs w:val="24"/>
        </w:rPr>
        <w:t>.</w:t>
      </w:r>
    </w:p>
    <w:p w14:paraId="5B08D1F2" w14:textId="77777777" w:rsidR="00BB4B07" w:rsidRDefault="00BB4B07" w:rsidP="00BB4B07">
      <w:pPr>
        <w:spacing w:after="0" w:line="480" w:lineRule="auto"/>
        <w:jc w:val="both"/>
        <w:rPr>
          <w:rFonts w:ascii="Calibri" w:hAnsi="Calibri" w:cs="Calibri"/>
          <w:sz w:val="24"/>
          <w:szCs w:val="24"/>
        </w:rPr>
      </w:pPr>
    </w:p>
    <w:p w14:paraId="7C6B2234" w14:textId="52BF28EC" w:rsidR="00BB4B07" w:rsidRDefault="00BB4B07" w:rsidP="009D3B88">
      <w:pPr>
        <w:spacing w:after="0" w:line="480" w:lineRule="auto"/>
        <w:jc w:val="both"/>
        <w:rPr>
          <w:rFonts w:ascii="Calibri" w:hAnsi="Calibri" w:cs="Calibri"/>
          <w:sz w:val="24"/>
          <w:szCs w:val="24"/>
        </w:rPr>
      </w:pPr>
      <w:r w:rsidRPr="003C3EAC">
        <w:rPr>
          <w:rFonts w:ascii="Calibri" w:hAnsi="Calibri" w:cs="Calibri"/>
          <w:b/>
          <w:bCs/>
          <w:sz w:val="24"/>
          <w:szCs w:val="24"/>
        </w:rPr>
        <w:t>Figure S</w:t>
      </w:r>
      <w:r w:rsidR="00E81913">
        <w:rPr>
          <w:rFonts w:ascii="Calibri" w:hAnsi="Calibri" w:cs="Calibri"/>
          <w:b/>
          <w:bCs/>
          <w:sz w:val="24"/>
          <w:szCs w:val="24"/>
        </w:rPr>
        <w:t>5</w:t>
      </w:r>
      <w:r w:rsidRPr="003C3EAC">
        <w:rPr>
          <w:rFonts w:ascii="Calibri" w:hAnsi="Calibri" w:cs="Calibri"/>
          <w:b/>
          <w:bCs/>
          <w:sz w:val="24"/>
          <w:szCs w:val="24"/>
        </w:rPr>
        <w:t>.</w:t>
      </w:r>
      <w:r>
        <w:rPr>
          <w:rFonts w:ascii="Calibri" w:hAnsi="Calibri" w:cs="Calibri"/>
          <w:b/>
          <w:bCs/>
          <w:sz w:val="24"/>
          <w:szCs w:val="24"/>
        </w:rPr>
        <w:t xml:space="preserve"> </w:t>
      </w:r>
      <w:r w:rsidRPr="003C3EAC">
        <w:rPr>
          <w:rFonts w:ascii="Calibri" w:hAnsi="Calibri" w:cs="Calibri"/>
          <w:b/>
          <w:bCs/>
          <w:sz w:val="24"/>
          <w:szCs w:val="24"/>
        </w:rPr>
        <w:t xml:space="preserve">Upregulation of metabolic processes and downregulation of immune processes in Asrij deficient </w:t>
      </w:r>
      <w:r w:rsidRPr="003C3EAC">
        <w:rPr>
          <w:rFonts w:ascii="Calibri" w:hAnsi="Calibri" w:cs="Calibri"/>
          <w:b/>
          <w:bCs/>
          <w:i/>
          <w:iCs/>
          <w:sz w:val="24"/>
          <w:szCs w:val="24"/>
        </w:rPr>
        <w:t>APP/PS1</w:t>
      </w:r>
      <w:r w:rsidRPr="003C3EAC">
        <w:rPr>
          <w:rFonts w:ascii="Calibri" w:hAnsi="Calibri" w:cs="Calibri"/>
          <w:b/>
          <w:bCs/>
          <w:sz w:val="24"/>
          <w:szCs w:val="24"/>
        </w:rPr>
        <w:t xml:space="preserve"> mice.</w:t>
      </w:r>
      <w:r>
        <w:rPr>
          <w:rFonts w:ascii="Calibri" w:hAnsi="Calibri" w:cs="Calibri"/>
          <w:b/>
          <w:bCs/>
          <w:sz w:val="24"/>
          <w:szCs w:val="24"/>
        </w:rPr>
        <w:t xml:space="preserve"> </w:t>
      </w:r>
      <w:r>
        <w:rPr>
          <w:rFonts w:ascii="Calibri" w:hAnsi="Calibri" w:cs="Calibri"/>
          <w:sz w:val="24"/>
          <w:szCs w:val="24"/>
        </w:rPr>
        <w:t>(A) Heatmap of all significantly affected DEGs (</w:t>
      </w:r>
      <w:r w:rsidRPr="008F1600">
        <w:rPr>
          <w:rFonts w:ascii="Calibri" w:hAnsi="Calibri" w:cs="Calibri"/>
          <w:i/>
          <w:iCs/>
          <w:sz w:val="24"/>
          <w:szCs w:val="24"/>
        </w:rPr>
        <w:t>P</w:t>
      </w:r>
      <w:r>
        <w:rPr>
          <w:rFonts w:ascii="Calibri" w:hAnsi="Calibri" w:cs="Calibri"/>
          <w:sz w:val="24"/>
          <w:szCs w:val="24"/>
        </w:rPr>
        <w:t xml:space="preserve"> &lt; 0.0</w:t>
      </w:r>
      <w:r w:rsidR="00E46DD7">
        <w:rPr>
          <w:rFonts w:ascii="Calibri" w:hAnsi="Calibri" w:cs="Calibri"/>
          <w:sz w:val="24"/>
          <w:szCs w:val="24"/>
        </w:rPr>
        <w:t>1</w:t>
      </w:r>
      <w:r>
        <w:rPr>
          <w:rFonts w:ascii="Calibri" w:hAnsi="Calibri" w:cs="Calibri"/>
          <w:sz w:val="24"/>
          <w:szCs w:val="24"/>
        </w:rPr>
        <w:t>)</w:t>
      </w:r>
      <w:r w:rsidR="00C17A82">
        <w:rPr>
          <w:rFonts w:ascii="Calibri" w:hAnsi="Calibri" w:cs="Calibri"/>
          <w:sz w:val="24"/>
          <w:szCs w:val="24"/>
        </w:rPr>
        <w:t xml:space="preserve"> </w:t>
      </w:r>
      <w:r>
        <w:rPr>
          <w:rFonts w:ascii="Calibri" w:hAnsi="Calibri" w:cs="Calibri"/>
          <w:sz w:val="24"/>
          <w:szCs w:val="24"/>
        </w:rPr>
        <w:t>(</w:t>
      </w:r>
      <w:r w:rsidR="00C17A82">
        <w:rPr>
          <w:rFonts w:ascii="Calibri" w:hAnsi="Calibri" w:cs="Calibri"/>
          <w:sz w:val="24"/>
          <w:szCs w:val="24"/>
        </w:rPr>
        <w:t>B</w:t>
      </w:r>
      <w:r>
        <w:rPr>
          <w:rFonts w:ascii="Calibri" w:hAnsi="Calibri" w:cs="Calibri"/>
          <w:sz w:val="24"/>
          <w:szCs w:val="24"/>
        </w:rPr>
        <w:t>) Immunoblot analysis of phospho-mTOR (serine 2448), mTOR, phospho-Akt (serine 243), and Akt. GAPDH is loading control. Graphs show fold change in p-mTOR normalized to total mTOR and fold change in p-Akt normalized to total Akt</w:t>
      </w:r>
      <w:r w:rsidR="00501408">
        <w:rPr>
          <w:rFonts w:ascii="Calibri" w:hAnsi="Calibri" w:cs="Calibri"/>
          <w:sz w:val="24"/>
          <w:szCs w:val="24"/>
        </w:rPr>
        <w:t xml:space="preserve"> (n = 3, all </w:t>
      </w:r>
      <w:r w:rsidR="00430958">
        <w:rPr>
          <w:rFonts w:ascii="Calibri" w:hAnsi="Calibri" w:cs="Calibri"/>
          <w:sz w:val="24"/>
          <w:szCs w:val="24"/>
        </w:rPr>
        <w:t>fe</w:t>
      </w:r>
      <w:r w:rsidR="00501408">
        <w:rPr>
          <w:rFonts w:ascii="Calibri" w:hAnsi="Calibri" w:cs="Calibri"/>
          <w:sz w:val="24"/>
          <w:szCs w:val="24"/>
        </w:rPr>
        <w:t>males)</w:t>
      </w:r>
      <w:r>
        <w:rPr>
          <w:rFonts w:ascii="Calibri" w:hAnsi="Calibri" w:cs="Calibri"/>
          <w:sz w:val="24"/>
          <w:szCs w:val="24"/>
        </w:rPr>
        <w:t xml:space="preserve">. Statistical significance between experimental groups was calculated by </w:t>
      </w:r>
      <w:r w:rsidRPr="008951C3">
        <w:rPr>
          <w:rFonts w:ascii="Calibri" w:hAnsi="Calibri" w:cs="Calibri"/>
          <w:sz w:val="24"/>
          <w:szCs w:val="24"/>
        </w:rPr>
        <w:t>two-sided Wald test</w:t>
      </w:r>
      <w:r>
        <w:rPr>
          <w:rFonts w:ascii="Calibri" w:hAnsi="Calibri" w:cs="Calibri"/>
          <w:sz w:val="24"/>
          <w:szCs w:val="24"/>
        </w:rPr>
        <w:t xml:space="preserve"> (A</w:t>
      </w:r>
      <w:r w:rsidR="00911235">
        <w:rPr>
          <w:rFonts w:ascii="Calibri" w:hAnsi="Calibri" w:cs="Calibri"/>
          <w:sz w:val="24"/>
          <w:szCs w:val="24"/>
        </w:rPr>
        <w:t xml:space="preserve">) </w:t>
      </w:r>
      <w:r>
        <w:rPr>
          <w:rFonts w:ascii="Calibri" w:hAnsi="Calibri" w:cs="Calibri"/>
          <w:sz w:val="24"/>
          <w:szCs w:val="24"/>
        </w:rPr>
        <w:t>and one-way ANOVA with Tukey’s post-hoc test (</w:t>
      </w:r>
      <w:r w:rsidR="00911235">
        <w:rPr>
          <w:rFonts w:ascii="Calibri" w:hAnsi="Calibri" w:cs="Calibri"/>
          <w:sz w:val="24"/>
          <w:szCs w:val="24"/>
        </w:rPr>
        <w:t>B</w:t>
      </w:r>
      <w:r>
        <w:rPr>
          <w:rFonts w:ascii="Calibri" w:hAnsi="Calibri" w:cs="Calibri"/>
          <w:sz w:val="24"/>
          <w:szCs w:val="24"/>
        </w:rPr>
        <w:t xml:space="preserve">). Error bars denote mean </w:t>
      </w:r>
      <w:r w:rsidRPr="00AA2451">
        <w:rPr>
          <w:rFonts w:ascii="Calibri" w:hAnsi="Calibri" w:cs="Calibri"/>
          <w:sz w:val="24"/>
          <w:szCs w:val="24"/>
        </w:rPr>
        <w:t>±</w:t>
      </w:r>
      <w:r>
        <w:rPr>
          <w:rFonts w:ascii="Calibri" w:hAnsi="Calibri" w:cs="Calibri"/>
          <w:sz w:val="24"/>
          <w:szCs w:val="24"/>
        </w:rPr>
        <w:t xml:space="preserve"> SEM. ns- non-significant, </w:t>
      </w:r>
      <w:r w:rsidRPr="00D77175">
        <w:rPr>
          <w:rFonts w:ascii="Calibri" w:hAnsi="Calibri" w:cs="Calibri"/>
          <w:sz w:val="24"/>
          <w:szCs w:val="24"/>
        </w:rPr>
        <w:t>*</w:t>
      </w:r>
      <w:r w:rsidRPr="000C05F8">
        <w:rPr>
          <w:rFonts w:ascii="Calibri" w:hAnsi="Calibri" w:cs="Calibri"/>
          <w:i/>
          <w:iCs/>
          <w:sz w:val="24"/>
          <w:szCs w:val="24"/>
        </w:rPr>
        <w:t>P</w:t>
      </w:r>
      <w:r w:rsidRPr="00D77175">
        <w:rPr>
          <w:rFonts w:ascii="Calibri" w:hAnsi="Calibri" w:cs="Calibri"/>
          <w:sz w:val="24"/>
          <w:szCs w:val="24"/>
        </w:rPr>
        <w:t xml:space="preserve"> &lt; 0.05, **</w:t>
      </w:r>
      <w:r w:rsidRPr="000C05F8">
        <w:rPr>
          <w:rFonts w:ascii="Calibri" w:hAnsi="Calibri" w:cs="Calibri"/>
          <w:i/>
          <w:iCs/>
          <w:sz w:val="24"/>
          <w:szCs w:val="24"/>
        </w:rPr>
        <w:t>P</w:t>
      </w:r>
      <w:r w:rsidRPr="00D77175">
        <w:rPr>
          <w:rFonts w:ascii="Calibri" w:hAnsi="Calibri" w:cs="Calibri"/>
          <w:sz w:val="24"/>
          <w:szCs w:val="24"/>
        </w:rPr>
        <w:t xml:space="preserve"> &lt; 0.01, and ***</w:t>
      </w:r>
      <w:r w:rsidRPr="000C05F8">
        <w:rPr>
          <w:rFonts w:ascii="Calibri" w:hAnsi="Calibri" w:cs="Calibri"/>
          <w:i/>
          <w:iCs/>
          <w:sz w:val="24"/>
          <w:szCs w:val="24"/>
        </w:rPr>
        <w:t>P</w:t>
      </w:r>
      <w:r w:rsidRPr="00D77175">
        <w:rPr>
          <w:rFonts w:ascii="Calibri" w:hAnsi="Calibri" w:cs="Calibri"/>
          <w:sz w:val="24"/>
          <w:szCs w:val="24"/>
        </w:rPr>
        <w:t xml:space="preserve"> &lt; 0.001</w:t>
      </w:r>
      <w:r>
        <w:rPr>
          <w:rFonts w:ascii="Calibri" w:hAnsi="Calibri" w:cs="Calibri"/>
          <w:sz w:val="24"/>
          <w:szCs w:val="24"/>
        </w:rPr>
        <w:t>.</w:t>
      </w:r>
    </w:p>
    <w:p w14:paraId="2AB6B2D8" w14:textId="77777777" w:rsidR="0079163F" w:rsidRDefault="0079163F" w:rsidP="009D3B88">
      <w:pPr>
        <w:spacing w:line="480" w:lineRule="auto"/>
      </w:pPr>
    </w:p>
    <w:p w14:paraId="0B1282B4" w14:textId="6A49E0EC" w:rsidR="00B90971" w:rsidRPr="00FB3FBC" w:rsidRDefault="00FB3FBC" w:rsidP="00FB3FBC">
      <w:pPr>
        <w:spacing w:after="0" w:line="480" w:lineRule="auto"/>
        <w:jc w:val="both"/>
        <w:rPr>
          <w:rFonts w:ascii="Calibri" w:hAnsi="Calibri" w:cs="Calibri"/>
          <w:b/>
          <w:bCs/>
          <w:sz w:val="28"/>
          <w:szCs w:val="28"/>
        </w:rPr>
      </w:pPr>
      <w:r w:rsidRPr="00DA2532">
        <w:rPr>
          <w:rFonts w:ascii="Calibri" w:hAnsi="Calibri" w:cs="Calibri"/>
          <w:b/>
          <w:bCs/>
          <w:sz w:val="28"/>
          <w:szCs w:val="28"/>
        </w:rPr>
        <w:t xml:space="preserve">Supplementary </w:t>
      </w:r>
      <w:r>
        <w:rPr>
          <w:rFonts w:ascii="Calibri" w:hAnsi="Calibri" w:cs="Calibri"/>
          <w:b/>
          <w:bCs/>
          <w:sz w:val="28"/>
          <w:szCs w:val="28"/>
        </w:rPr>
        <w:t>table</w:t>
      </w:r>
    </w:p>
    <w:p w14:paraId="5F445D1D" w14:textId="561CD33E" w:rsidR="00421749" w:rsidRPr="00ED07C6" w:rsidRDefault="00810398" w:rsidP="00ED07C6">
      <w:pPr>
        <w:spacing w:line="480" w:lineRule="auto"/>
        <w:rPr>
          <w:rFonts w:ascii="Calibri" w:hAnsi="Calibri" w:cs="Calibri"/>
          <w:sz w:val="24"/>
          <w:szCs w:val="24"/>
        </w:rPr>
      </w:pPr>
      <w:r w:rsidRPr="00C87036">
        <w:rPr>
          <w:rFonts w:ascii="Calibri" w:hAnsi="Calibri" w:cs="Calibri"/>
          <w:b/>
          <w:bCs/>
          <w:sz w:val="24"/>
          <w:szCs w:val="24"/>
        </w:rPr>
        <w:t xml:space="preserve">Supplementary table: </w:t>
      </w:r>
      <w:r w:rsidR="009A5993">
        <w:rPr>
          <w:rFonts w:ascii="Calibri" w:hAnsi="Calibri" w:cs="Calibri"/>
          <w:sz w:val="24"/>
          <w:szCs w:val="24"/>
        </w:rPr>
        <w:t xml:space="preserve">A list of </w:t>
      </w:r>
      <w:r w:rsidR="003A2F2D">
        <w:rPr>
          <w:rFonts w:ascii="Calibri" w:hAnsi="Calibri" w:cs="Calibri"/>
          <w:sz w:val="24"/>
          <w:szCs w:val="24"/>
        </w:rPr>
        <w:t xml:space="preserve">differentially expressed genes </w:t>
      </w:r>
      <w:r w:rsidR="004E1389">
        <w:rPr>
          <w:rFonts w:ascii="Calibri" w:hAnsi="Calibri" w:cs="Calibri"/>
          <w:sz w:val="24"/>
          <w:szCs w:val="24"/>
        </w:rPr>
        <w:t xml:space="preserve">in </w:t>
      </w:r>
      <w:r w:rsidR="008F2478" w:rsidRPr="00696138">
        <w:rPr>
          <w:rFonts w:ascii="Calibri" w:hAnsi="Calibri" w:cs="Calibri"/>
          <w:i/>
          <w:iCs/>
          <w:sz w:val="24"/>
          <w:szCs w:val="24"/>
        </w:rPr>
        <w:t>APP/PS1</w:t>
      </w:r>
      <w:r w:rsidR="008F2478" w:rsidRPr="00696138">
        <w:rPr>
          <w:rFonts w:ascii="Calibri" w:hAnsi="Calibri" w:cs="Calibri"/>
          <w:sz w:val="24"/>
          <w:szCs w:val="24"/>
          <w:vertAlign w:val="superscript"/>
        </w:rPr>
        <w:t>+</w:t>
      </w:r>
      <w:r w:rsidR="008F2478">
        <w:rPr>
          <w:rFonts w:ascii="Calibri" w:hAnsi="Calibri" w:cs="Calibri"/>
          <w:sz w:val="24"/>
          <w:szCs w:val="24"/>
        </w:rPr>
        <w:t>/</w:t>
      </w:r>
      <w:r w:rsidR="008F2478" w:rsidRPr="00696138">
        <w:rPr>
          <w:rFonts w:ascii="Calibri" w:hAnsi="Calibri" w:cs="Calibri"/>
          <w:i/>
          <w:iCs/>
          <w:sz w:val="24"/>
          <w:szCs w:val="24"/>
        </w:rPr>
        <w:t>asrij</w:t>
      </w:r>
      <w:r w:rsidR="008F2478" w:rsidRPr="00696138">
        <w:rPr>
          <w:rFonts w:ascii="Calibri" w:hAnsi="Calibri" w:cs="Calibri"/>
          <w:sz w:val="24"/>
          <w:szCs w:val="24"/>
          <w:vertAlign w:val="superscript"/>
        </w:rPr>
        <w:t>-/-</w:t>
      </w:r>
      <w:r w:rsidR="008F2478">
        <w:rPr>
          <w:rFonts w:ascii="Calibri" w:hAnsi="Calibri" w:cs="Calibri"/>
          <w:sz w:val="24"/>
          <w:szCs w:val="24"/>
        </w:rPr>
        <w:t xml:space="preserve"> (AD/KO) CD11b</w:t>
      </w:r>
      <w:r w:rsidR="008F2478" w:rsidRPr="00696138">
        <w:rPr>
          <w:rFonts w:ascii="Calibri" w:hAnsi="Calibri" w:cs="Calibri"/>
          <w:sz w:val="24"/>
          <w:szCs w:val="24"/>
          <w:vertAlign w:val="superscript"/>
        </w:rPr>
        <w:t>+</w:t>
      </w:r>
      <w:r w:rsidR="008F2478">
        <w:rPr>
          <w:rFonts w:ascii="Calibri" w:hAnsi="Calibri" w:cs="Calibri"/>
          <w:sz w:val="24"/>
          <w:szCs w:val="24"/>
        </w:rPr>
        <w:t xml:space="preserve"> microglia using RNA sequencing. </w:t>
      </w:r>
    </w:p>
    <w:sectPr w:rsidR="00421749" w:rsidRPr="00ED07C6" w:rsidSect="00C45326">
      <w:footerReference w:type="even" r:id="rId7"/>
      <w:footerReference w:type="default" r:id="rId8"/>
      <w:pgSz w:w="11906" w:h="16838"/>
      <w:pgMar w:top="1440" w:right="1440" w:bottom="1440" w:left="1440" w:header="708" w:footer="708" w:gutter="0"/>
      <w:lnNumType w:countBy="1" w:restart="continuou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C8F8CC" w14:textId="77777777" w:rsidR="00411F3D" w:rsidRDefault="00411F3D" w:rsidP="003571A0">
      <w:pPr>
        <w:spacing w:after="0" w:line="240" w:lineRule="auto"/>
      </w:pPr>
      <w:r>
        <w:separator/>
      </w:r>
    </w:p>
  </w:endnote>
  <w:endnote w:type="continuationSeparator" w:id="0">
    <w:p w14:paraId="7C12BD1B" w14:textId="77777777" w:rsidR="00411F3D" w:rsidRDefault="00411F3D" w:rsidP="003571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45726423"/>
      <w:docPartObj>
        <w:docPartGallery w:val="Page Numbers (Bottom of Page)"/>
        <w:docPartUnique/>
      </w:docPartObj>
    </w:sdtPr>
    <w:sdtContent>
      <w:p w14:paraId="321CE3CF" w14:textId="05A2B7B7" w:rsidR="003571A0" w:rsidRDefault="003571A0" w:rsidP="003571A0">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1220B6C" w14:textId="77777777" w:rsidR="003571A0" w:rsidRDefault="003571A0" w:rsidP="003571A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03216555"/>
      <w:docPartObj>
        <w:docPartGallery w:val="Page Numbers (Bottom of Page)"/>
        <w:docPartUnique/>
      </w:docPartObj>
    </w:sdtPr>
    <w:sdtContent>
      <w:p w14:paraId="261D254E" w14:textId="2E7D959A" w:rsidR="003571A0" w:rsidRDefault="003571A0" w:rsidP="003571A0">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7F6D7B39" w14:textId="77777777" w:rsidR="003571A0" w:rsidRDefault="003571A0" w:rsidP="003571A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A0DED" w14:textId="77777777" w:rsidR="00411F3D" w:rsidRDefault="00411F3D" w:rsidP="003571A0">
      <w:pPr>
        <w:spacing w:after="0" w:line="240" w:lineRule="auto"/>
      </w:pPr>
      <w:r>
        <w:separator/>
      </w:r>
    </w:p>
  </w:footnote>
  <w:footnote w:type="continuationSeparator" w:id="0">
    <w:p w14:paraId="1F7D1492" w14:textId="77777777" w:rsidR="00411F3D" w:rsidRDefault="00411F3D" w:rsidP="003571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043CFE"/>
    <w:multiLevelType w:val="hybridMultilevel"/>
    <w:tmpl w:val="3384AFD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71632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4B07"/>
    <w:rsid w:val="000165BB"/>
    <w:rsid w:val="000370E4"/>
    <w:rsid w:val="00051E3E"/>
    <w:rsid w:val="0007342A"/>
    <w:rsid w:val="0007782B"/>
    <w:rsid w:val="00093BA0"/>
    <w:rsid w:val="00097BDE"/>
    <w:rsid w:val="000A72FF"/>
    <w:rsid w:val="000B3536"/>
    <w:rsid w:val="000B6A3C"/>
    <w:rsid w:val="000C6677"/>
    <w:rsid w:val="000D49D4"/>
    <w:rsid w:val="0011034E"/>
    <w:rsid w:val="0014383D"/>
    <w:rsid w:val="0015441B"/>
    <w:rsid w:val="00172FB9"/>
    <w:rsid w:val="00190213"/>
    <w:rsid w:val="001B54E2"/>
    <w:rsid w:val="001B5BCE"/>
    <w:rsid w:val="001C4DF7"/>
    <w:rsid w:val="001C6B88"/>
    <w:rsid w:val="001D01B3"/>
    <w:rsid w:val="001D2CFF"/>
    <w:rsid w:val="001D6DBF"/>
    <w:rsid w:val="002225B4"/>
    <w:rsid w:val="00235241"/>
    <w:rsid w:val="00240869"/>
    <w:rsid w:val="00294C6B"/>
    <w:rsid w:val="002E5EF4"/>
    <w:rsid w:val="002F190D"/>
    <w:rsid w:val="0034258B"/>
    <w:rsid w:val="00343E89"/>
    <w:rsid w:val="003571A0"/>
    <w:rsid w:val="00363F73"/>
    <w:rsid w:val="00374A85"/>
    <w:rsid w:val="00384234"/>
    <w:rsid w:val="0038705F"/>
    <w:rsid w:val="003931A4"/>
    <w:rsid w:val="003A2F2D"/>
    <w:rsid w:val="003A3E3D"/>
    <w:rsid w:val="003A4B67"/>
    <w:rsid w:val="003A620C"/>
    <w:rsid w:val="003C2911"/>
    <w:rsid w:val="003D2D17"/>
    <w:rsid w:val="00406F47"/>
    <w:rsid w:val="00411F3D"/>
    <w:rsid w:val="00417A3D"/>
    <w:rsid w:val="00421749"/>
    <w:rsid w:val="00430958"/>
    <w:rsid w:val="00447598"/>
    <w:rsid w:val="004477BE"/>
    <w:rsid w:val="00447A51"/>
    <w:rsid w:val="00451BEE"/>
    <w:rsid w:val="004605C2"/>
    <w:rsid w:val="004664D1"/>
    <w:rsid w:val="00482FB6"/>
    <w:rsid w:val="004938C0"/>
    <w:rsid w:val="00494BE9"/>
    <w:rsid w:val="004B2088"/>
    <w:rsid w:val="004E1389"/>
    <w:rsid w:val="004E6278"/>
    <w:rsid w:val="00501408"/>
    <w:rsid w:val="00513D15"/>
    <w:rsid w:val="00521B5F"/>
    <w:rsid w:val="00545DE5"/>
    <w:rsid w:val="00550B83"/>
    <w:rsid w:val="00575AF2"/>
    <w:rsid w:val="00576C35"/>
    <w:rsid w:val="005D0E7E"/>
    <w:rsid w:val="00622E21"/>
    <w:rsid w:val="00636C40"/>
    <w:rsid w:val="00637DEE"/>
    <w:rsid w:val="006437D8"/>
    <w:rsid w:val="0065048B"/>
    <w:rsid w:val="00650D41"/>
    <w:rsid w:val="0068195A"/>
    <w:rsid w:val="00682099"/>
    <w:rsid w:val="00696138"/>
    <w:rsid w:val="006B5770"/>
    <w:rsid w:val="006C15DF"/>
    <w:rsid w:val="006D605B"/>
    <w:rsid w:val="006E49EC"/>
    <w:rsid w:val="006F7133"/>
    <w:rsid w:val="00700F14"/>
    <w:rsid w:val="007272E2"/>
    <w:rsid w:val="007524B8"/>
    <w:rsid w:val="0077244F"/>
    <w:rsid w:val="0079163F"/>
    <w:rsid w:val="007B5949"/>
    <w:rsid w:val="007C0B3A"/>
    <w:rsid w:val="007E36F9"/>
    <w:rsid w:val="00810398"/>
    <w:rsid w:val="00830D95"/>
    <w:rsid w:val="00833ABB"/>
    <w:rsid w:val="00843882"/>
    <w:rsid w:val="00857E41"/>
    <w:rsid w:val="0086582C"/>
    <w:rsid w:val="008A0004"/>
    <w:rsid w:val="008A2673"/>
    <w:rsid w:val="008C69B9"/>
    <w:rsid w:val="008D4C08"/>
    <w:rsid w:val="008F2478"/>
    <w:rsid w:val="00911235"/>
    <w:rsid w:val="009114AB"/>
    <w:rsid w:val="009557EA"/>
    <w:rsid w:val="00961824"/>
    <w:rsid w:val="009753FE"/>
    <w:rsid w:val="00997864"/>
    <w:rsid w:val="009A19E7"/>
    <w:rsid w:val="009A5993"/>
    <w:rsid w:val="009B2300"/>
    <w:rsid w:val="009D3B88"/>
    <w:rsid w:val="009E0EF8"/>
    <w:rsid w:val="00A32F58"/>
    <w:rsid w:val="00A3352C"/>
    <w:rsid w:val="00A5709B"/>
    <w:rsid w:val="00A651BA"/>
    <w:rsid w:val="00A80FB0"/>
    <w:rsid w:val="00A9559E"/>
    <w:rsid w:val="00A97F3A"/>
    <w:rsid w:val="00AD2F29"/>
    <w:rsid w:val="00AF290D"/>
    <w:rsid w:val="00B06ADC"/>
    <w:rsid w:val="00B60EBE"/>
    <w:rsid w:val="00B74724"/>
    <w:rsid w:val="00B7763D"/>
    <w:rsid w:val="00B87344"/>
    <w:rsid w:val="00B90971"/>
    <w:rsid w:val="00BB4B07"/>
    <w:rsid w:val="00BE1F45"/>
    <w:rsid w:val="00C025BB"/>
    <w:rsid w:val="00C17819"/>
    <w:rsid w:val="00C17A82"/>
    <w:rsid w:val="00C412CE"/>
    <w:rsid w:val="00C45326"/>
    <w:rsid w:val="00C54E36"/>
    <w:rsid w:val="00C82E0C"/>
    <w:rsid w:val="00C87036"/>
    <w:rsid w:val="00CA0929"/>
    <w:rsid w:val="00CA0A48"/>
    <w:rsid w:val="00CA171A"/>
    <w:rsid w:val="00CC4F1B"/>
    <w:rsid w:val="00D02B31"/>
    <w:rsid w:val="00D15E31"/>
    <w:rsid w:val="00D4296D"/>
    <w:rsid w:val="00D43619"/>
    <w:rsid w:val="00D57EAF"/>
    <w:rsid w:val="00D72ED3"/>
    <w:rsid w:val="00D768AE"/>
    <w:rsid w:val="00D76999"/>
    <w:rsid w:val="00DC30F6"/>
    <w:rsid w:val="00DC4870"/>
    <w:rsid w:val="00DE2CE4"/>
    <w:rsid w:val="00E46DD7"/>
    <w:rsid w:val="00E56C70"/>
    <w:rsid w:val="00E57F8F"/>
    <w:rsid w:val="00E61CFD"/>
    <w:rsid w:val="00E6249F"/>
    <w:rsid w:val="00E7013C"/>
    <w:rsid w:val="00E80843"/>
    <w:rsid w:val="00E81913"/>
    <w:rsid w:val="00E91104"/>
    <w:rsid w:val="00EA151B"/>
    <w:rsid w:val="00EC4FB2"/>
    <w:rsid w:val="00ED07C6"/>
    <w:rsid w:val="00ED2E23"/>
    <w:rsid w:val="00EF5E3E"/>
    <w:rsid w:val="00F03A49"/>
    <w:rsid w:val="00F20CA8"/>
    <w:rsid w:val="00F64294"/>
    <w:rsid w:val="00F671B4"/>
    <w:rsid w:val="00F71438"/>
    <w:rsid w:val="00F738D0"/>
    <w:rsid w:val="00F75DB0"/>
    <w:rsid w:val="00F84564"/>
    <w:rsid w:val="00F91870"/>
    <w:rsid w:val="00FB3FBC"/>
    <w:rsid w:val="00FB40AB"/>
    <w:rsid w:val="00FB4129"/>
    <w:rsid w:val="00FC0903"/>
    <w:rsid w:val="00FD06E2"/>
    <w:rsid w:val="00FE0EF7"/>
    <w:rsid w:val="00FF3AB1"/>
    <w:rsid w:val="00FF4E4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B01FC"/>
  <w15:chartTrackingRefBased/>
  <w15:docId w15:val="{DC33B923-339F-D14E-8F95-972A7AFE8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4B07"/>
    <w:pPr>
      <w:spacing w:after="160" w:line="259" w:lineRule="auto"/>
    </w:pPr>
    <w:rPr>
      <w:kern w:val="0"/>
      <w:sz w:val="22"/>
      <w:szCs w:val="22"/>
      <w14:ligatures w14:val="none"/>
    </w:rPr>
  </w:style>
  <w:style w:type="paragraph" w:styleId="Heading1">
    <w:name w:val="heading 1"/>
    <w:basedOn w:val="Normal"/>
    <w:next w:val="Normal"/>
    <w:link w:val="Heading1Char"/>
    <w:uiPriority w:val="9"/>
    <w:qFormat/>
    <w:rsid w:val="00BB4B07"/>
    <w:pPr>
      <w:keepNext/>
      <w:keepLines/>
      <w:spacing w:before="360" w:after="80" w:line="240"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4B07"/>
    <w:pPr>
      <w:keepNext/>
      <w:keepLines/>
      <w:spacing w:before="160" w:after="80" w:line="240"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4B07"/>
    <w:pPr>
      <w:keepNext/>
      <w:keepLines/>
      <w:spacing w:before="160" w:after="80" w:line="240" w:lineRule="auto"/>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4B07"/>
    <w:pPr>
      <w:keepNext/>
      <w:keepLines/>
      <w:spacing w:before="80" w:after="40" w:line="240" w:lineRule="auto"/>
      <w:outlineLvl w:val="3"/>
    </w:pPr>
    <w:rPr>
      <w:rFonts w:eastAsiaTheme="majorEastAsia"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BB4B07"/>
    <w:pPr>
      <w:keepNext/>
      <w:keepLines/>
      <w:spacing w:before="80" w:after="40" w:line="240" w:lineRule="auto"/>
      <w:outlineLvl w:val="4"/>
    </w:pPr>
    <w:rPr>
      <w:rFonts w:eastAsiaTheme="majorEastAsia"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BB4B07"/>
    <w:pPr>
      <w:keepNext/>
      <w:keepLines/>
      <w:spacing w:before="40" w:after="0" w:line="240"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BB4B07"/>
    <w:pPr>
      <w:keepNext/>
      <w:keepLines/>
      <w:spacing w:before="40" w:after="0" w:line="240"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BB4B07"/>
    <w:pPr>
      <w:keepNext/>
      <w:keepLines/>
      <w:spacing w:after="0" w:line="240"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BB4B07"/>
    <w:pPr>
      <w:keepNext/>
      <w:keepLines/>
      <w:spacing w:after="0" w:line="240"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4B0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B4B0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B4B0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B4B0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B4B0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B4B0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B4B0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B4B0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B4B07"/>
    <w:rPr>
      <w:rFonts w:eastAsiaTheme="majorEastAsia" w:cstheme="majorBidi"/>
      <w:color w:val="272727" w:themeColor="text1" w:themeTint="D8"/>
    </w:rPr>
  </w:style>
  <w:style w:type="paragraph" w:styleId="Title">
    <w:name w:val="Title"/>
    <w:basedOn w:val="Normal"/>
    <w:next w:val="Normal"/>
    <w:link w:val="TitleChar"/>
    <w:uiPriority w:val="10"/>
    <w:qFormat/>
    <w:rsid w:val="00BB4B07"/>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4B0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4B07"/>
    <w:pPr>
      <w:numPr>
        <w:ilvl w:val="1"/>
      </w:numPr>
      <w:spacing w:line="240"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4B0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B4B07"/>
    <w:pPr>
      <w:spacing w:before="160" w:line="240"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BB4B07"/>
    <w:rPr>
      <w:i/>
      <w:iCs/>
      <w:color w:val="404040" w:themeColor="text1" w:themeTint="BF"/>
    </w:rPr>
  </w:style>
  <w:style w:type="paragraph" w:styleId="ListParagraph">
    <w:name w:val="List Paragraph"/>
    <w:basedOn w:val="Normal"/>
    <w:uiPriority w:val="34"/>
    <w:qFormat/>
    <w:rsid w:val="00BB4B07"/>
    <w:pPr>
      <w:spacing w:after="0" w:line="240"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BB4B07"/>
    <w:rPr>
      <w:i/>
      <w:iCs/>
      <w:color w:val="0F4761" w:themeColor="accent1" w:themeShade="BF"/>
    </w:rPr>
  </w:style>
  <w:style w:type="paragraph" w:styleId="IntenseQuote">
    <w:name w:val="Intense Quote"/>
    <w:basedOn w:val="Normal"/>
    <w:next w:val="Normal"/>
    <w:link w:val="IntenseQuoteChar"/>
    <w:uiPriority w:val="30"/>
    <w:qFormat/>
    <w:rsid w:val="00BB4B07"/>
    <w:pPr>
      <w:pBdr>
        <w:top w:val="single" w:sz="4" w:space="10" w:color="0F4761" w:themeColor="accent1" w:themeShade="BF"/>
        <w:bottom w:val="single" w:sz="4" w:space="10" w:color="0F4761" w:themeColor="accent1" w:themeShade="BF"/>
      </w:pBdr>
      <w:spacing w:before="360" w:after="360" w:line="240" w:lineRule="auto"/>
      <w:ind w:left="864" w:right="864"/>
      <w:jc w:val="center"/>
    </w:pPr>
    <w:rPr>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BB4B07"/>
    <w:rPr>
      <w:i/>
      <w:iCs/>
      <w:color w:val="0F4761" w:themeColor="accent1" w:themeShade="BF"/>
    </w:rPr>
  </w:style>
  <w:style w:type="character" w:styleId="IntenseReference">
    <w:name w:val="Intense Reference"/>
    <w:basedOn w:val="DefaultParagraphFont"/>
    <w:uiPriority w:val="32"/>
    <w:qFormat/>
    <w:rsid w:val="00BB4B07"/>
    <w:rPr>
      <w:b/>
      <w:bCs/>
      <w:smallCaps/>
      <w:color w:val="0F4761" w:themeColor="accent1" w:themeShade="BF"/>
      <w:spacing w:val="5"/>
    </w:rPr>
  </w:style>
  <w:style w:type="paragraph" w:styleId="Footer">
    <w:name w:val="footer"/>
    <w:basedOn w:val="Normal"/>
    <w:link w:val="FooterChar"/>
    <w:uiPriority w:val="99"/>
    <w:unhideWhenUsed/>
    <w:rsid w:val="003571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3571A0"/>
    <w:rPr>
      <w:kern w:val="0"/>
      <w:sz w:val="22"/>
      <w:szCs w:val="22"/>
      <w14:ligatures w14:val="none"/>
    </w:rPr>
  </w:style>
  <w:style w:type="character" w:styleId="PageNumber">
    <w:name w:val="page number"/>
    <w:basedOn w:val="DefaultParagraphFont"/>
    <w:uiPriority w:val="99"/>
    <w:semiHidden/>
    <w:unhideWhenUsed/>
    <w:rsid w:val="003571A0"/>
  </w:style>
  <w:style w:type="character" w:styleId="LineNumber">
    <w:name w:val="line number"/>
    <w:basedOn w:val="DefaultParagraphFont"/>
    <w:uiPriority w:val="99"/>
    <w:semiHidden/>
    <w:unhideWhenUsed/>
    <w:rsid w:val="00C45326"/>
  </w:style>
  <w:style w:type="character" w:styleId="Hyperlink">
    <w:name w:val="Hyperlink"/>
    <w:basedOn w:val="DefaultParagraphFont"/>
    <w:uiPriority w:val="99"/>
    <w:unhideWhenUsed/>
    <w:rsid w:val="00EC4FB2"/>
    <w:rPr>
      <w:color w:val="467886" w:themeColor="hyperlink"/>
      <w:u w:val="single"/>
    </w:rPr>
  </w:style>
  <w:style w:type="character" w:styleId="UnresolvedMention">
    <w:name w:val="Unresolved Mention"/>
    <w:basedOn w:val="DefaultParagraphFont"/>
    <w:uiPriority w:val="99"/>
    <w:semiHidden/>
    <w:unhideWhenUsed/>
    <w:rsid w:val="00EC4FB2"/>
    <w:rPr>
      <w:color w:val="605E5C"/>
      <w:shd w:val="clear" w:color="auto" w:fill="E1DFDD"/>
    </w:rPr>
  </w:style>
  <w:style w:type="paragraph" w:styleId="Revision">
    <w:name w:val="Revision"/>
    <w:hidden/>
    <w:uiPriority w:val="99"/>
    <w:semiHidden/>
    <w:rsid w:val="00F738D0"/>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CD24A33-604D-2F43-B7BF-03B2E5C1434A}">
  <we:reference id="f518cb36-c901-4d52-a9e7-4331342e485d" version="1.2.0.0" store="EXCatalog" storeType="EXCatalog"/>
  <we:alternateReferences>
    <we:reference id="WA200001011" version="1.2.0.0" store="en-IN"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Normal.dotm</Template>
  <TotalTime>1</TotalTime>
  <Pages>4</Pages>
  <Words>866</Words>
  <Characters>4942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Prathamesh</dc:creator>
  <cp:keywords/>
  <dc:description/>
  <cp:lastModifiedBy>Prathamesh</cp:lastModifiedBy>
  <cp:revision>3</cp:revision>
  <dcterms:created xsi:type="dcterms:W3CDTF">2025-03-03T16:02:00Z</dcterms:created>
  <dcterms:modified xsi:type="dcterms:W3CDTF">2025-03-03T16:02:00Z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documentId_2183</vt:lpwstr>
  </property>
  <property fmtid="{D5CDD505-2E9C-101B-9397-08002B2CF9AE}" pid="3" name="grammarly_documentContext">
    <vt:lpwstr>{"goals":[],"domain":"general","emotions":[],"dialect":"american"}</vt:lpwstr>
  </property>
</Properties>
</file>